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120" w:after="120"/>
        <w:ind w:right="2"/>
        <w:rPr>
          <w:b/>
          <w:bCs/>
          <w:sz w:val="24"/>
          <w:szCs w:val="18"/>
          <w:highlight w:val="yellow"/>
        </w:rPr>
      </w:pPr>
      <w:r>
        <w:rPr>
          <w:b/>
          <w:bCs/>
          <w:sz w:val="24"/>
          <w:szCs w:val="18"/>
        </w:rPr>
        <w:t>3GPP TSG RAN WG1 meeting #1</w:t>
      </w:r>
      <w:r>
        <w:rPr>
          <w:rFonts w:hint="eastAsia"/>
          <w:b/>
          <w:bCs/>
          <w:sz w:val="24"/>
          <w:szCs w:val="18"/>
        </w:rPr>
        <w:t>10                                 R1-2207059</w:t>
      </w:r>
      <w:r>
        <w:rPr>
          <w:b/>
          <w:sz w:val="22"/>
          <w:szCs w:val="22"/>
        </w:rPr>
        <w:t xml:space="preserve"> </w:t>
      </w:r>
    </w:p>
    <w:p>
      <w:pPr>
        <w:tabs>
          <w:tab w:val="center" w:pos="4536"/>
          <w:tab w:val="right" w:pos="9072"/>
        </w:tabs>
        <w:spacing w:before="120" w:after="120"/>
        <w:rPr>
          <w:rFonts w:eastAsia="MS Mincho"/>
          <w:b/>
          <w:bCs/>
          <w:sz w:val="24"/>
          <w:szCs w:val="18"/>
          <w:lang w:eastAsia="ja-JP"/>
        </w:rPr>
      </w:pPr>
      <w:r>
        <w:rPr>
          <w:rFonts w:eastAsia="MS Mincho"/>
          <w:b/>
          <w:bCs/>
          <w:sz w:val="24"/>
          <w:szCs w:val="18"/>
          <w:lang w:eastAsia="ja-JP"/>
        </w:rPr>
        <w:t xml:space="preserve">Toulouse, France, </w:t>
      </w:r>
      <w:r>
        <w:rPr>
          <w:rFonts w:hint="eastAsia"/>
          <w:b/>
          <w:bCs/>
          <w:sz w:val="24"/>
          <w:szCs w:val="18"/>
        </w:rPr>
        <w:t>Aug.</w:t>
      </w:r>
      <w:r>
        <w:rPr>
          <w:rFonts w:eastAsia="MS Mincho"/>
          <w:b/>
          <w:bCs/>
          <w:sz w:val="24"/>
          <w:szCs w:val="18"/>
          <w:lang w:eastAsia="ja-JP"/>
        </w:rPr>
        <w:t xml:space="preserve"> </w:t>
      </w:r>
      <w:r>
        <w:rPr>
          <w:rFonts w:hint="eastAsia"/>
          <w:b/>
          <w:bCs/>
          <w:sz w:val="24"/>
          <w:szCs w:val="18"/>
        </w:rPr>
        <w:t>22</w:t>
      </w:r>
      <w:r>
        <w:rPr>
          <w:rFonts w:eastAsia="MS Mincho"/>
          <w:b/>
          <w:bCs/>
          <w:sz w:val="24"/>
          <w:szCs w:val="18"/>
          <w:vertAlign w:val="superscript"/>
          <w:lang w:eastAsia="ja-JP"/>
        </w:rPr>
        <w:t>th</w:t>
      </w:r>
      <w:r>
        <w:rPr>
          <w:rFonts w:eastAsia="MS Mincho"/>
          <w:b/>
          <w:bCs/>
          <w:sz w:val="24"/>
          <w:szCs w:val="18"/>
          <w:lang w:eastAsia="ja-JP"/>
        </w:rPr>
        <w:t xml:space="preserve"> – 2</w:t>
      </w:r>
      <w:r>
        <w:rPr>
          <w:rFonts w:hint="eastAsia"/>
          <w:b/>
          <w:bCs/>
          <w:sz w:val="24"/>
          <w:szCs w:val="18"/>
        </w:rPr>
        <w:t>6</w:t>
      </w:r>
      <w:r>
        <w:rPr>
          <w:rFonts w:eastAsia="MS Mincho"/>
          <w:b/>
          <w:bCs/>
          <w:sz w:val="24"/>
          <w:szCs w:val="18"/>
          <w:vertAlign w:val="superscript"/>
          <w:lang w:eastAsia="ja-JP"/>
        </w:rPr>
        <w:t>th</w:t>
      </w:r>
      <w:r>
        <w:rPr>
          <w:rFonts w:eastAsia="MS Mincho"/>
          <w:b/>
          <w:bCs/>
          <w:sz w:val="24"/>
          <w:szCs w:val="18"/>
          <w:lang w:eastAsia="ja-JP"/>
        </w:rPr>
        <w:t>, 2022</w:t>
      </w:r>
    </w:p>
    <w:p>
      <w:pPr>
        <w:pStyle w:val="10"/>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r>
      <w:r>
        <w:rPr>
          <w:rFonts w:hint="eastAsia"/>
          <w:b/>
          <w:sz w:val="22"/>
          <w:szCs w:val="22"/>
        </w:rPr>
        <w:t xml:space="preserve">Discussion on NW energy saving performance evaluation </w:t>
      </w:r>
    </w:p>
    <w:p>
      <w:pPr>
        <w:pStyle w:val="10"/>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 xml:space="preserve">Source: </w:t>
      </w:r>
      <w:r>
        <w:rPr>
          <w:b/>
          <w:sz w:val="22"/>
          <w:szCs w:val="22"/>
        </w:rPr>
        <w:tab/>
      </w:r>
      <w:r>
        <w:rPr>
          <w:b/>
          <w:sz w:val="22"/>
          <w:szCs w:val="22"/>
        </w:rPr>
        <w:t>ZTE, Sanechips</w:t>
      </w:r>
      <w:r>
        <w:rPr>
          <w:rFonts w:hint="eastAsia"/>
          <w:b/>
          <w:sz w:val="22"/>
          <w:szCs w:val="22"/>
        </w:rPr>
        <w:t xml:space="preserve"> </w:t>
      </w:r>
    </w:p>
    <w:p>
      <w:pPr>
        <w:pStyle w:val="10"/>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9</w:t>
      </w:r>
      <w:r>
        <w:rPr>
          <w:b/>
          <w:sz w:val="22"/>
          <w:szCs w:val="22"/>
        </w:rPr>
        <w:t>.7.</w:t>
      </w:r>
      <w:r>
        <w:rPr>
          <w:rFonts w:hint="eastAsia"/>
          <w:b/>
          <w:sz w:val="22"/>
          <w:szCs w:val="22"/>
        </w:rPr>
        <w:t xml:space="preserve">1 </w:t>
      </w:r>
    </w:p>
    <w:p>
      <w:pPr>
        <w:pStyle w:val="10"/>
        <w:widowControl w:val="0"/>
        <w:pBdr>
          <w:bottom w:val="none" w:color="auto" w:sz="0" w:space="0"/>
        </w:pBdr>
        <w:tabs>
          <w:tab w:val="left" w:pos="1800"/>
          <w:tab w:val="clear" w:pos="4153"/>
          <w:tab w:val="clear" w:pos="8306"/>
        </w:tabs>
        <w:snapToGrid/>
        <w:spacing w:before="120" w:after="120" w:line="260" w:lineRule="auto"/>
        <w:jc w:val="both"/>
        <w:rPr>
          <w:b/>
          <w:sz w:val="22"/>
          <w:szCs w:val="22"/>
          <w:lang w:val="pt-BR"/>
        </w:rPr>
      </w:pPr>
      <w:r>
        <w:rPr>
          <w:b/>
          <w:sz w:val="22"/>
          <w:szCs w:val="22"/>
        </w:rPr>
        <w:t>Document for:</w:t>
      </w:r>
      <w:r>
        <w:rPr>
          <w:b/>
          <w:sz w:val="22"/>
          <w:szCs w:val="22"/>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rPr>
          <w:szCs w:val="21"/>
        </w:rPr>
      </w:pPr>
      <w:r>
        <w:rPr>
          <w:szCs w:val="21"/>
        </w:rPr>
        <w:t>The d</w:t>
      </w:r>
      <w:r>
        <w:rPr>
          <w:rFonts w:hint="eastAsia"/>
          <w:szCs w:val="21"/>
        </w:rPr>
        <w:t xml:space="preserve">efinition of base station energy consumption model, evaluation methodology and KPIs are important for the </w:t>
      </w:r>
      <w:r>
        <w:rPr>
          <w:szCs w:val="21"/>
        </w:rPr>
        <w:t>study</w:t>
      </w:r>
      <w:r>
        <w:rPr>
          <w:rFonts w:hint="eastAsia"/>
          <w:szCs w:val="21"/>
        </w:rPr>
        <w:t xml:space="preserve"> on the network energy saving </w:t>
      </w:r>
      <w:r>
        <w:rPr>
          <w:szCs w:val="21"/>
        </w:rPr>
        <w:t xml:space="preserve">techniques. </w:t>
      </w:r>
      <w:r>
        <w:rPr>
          <w:rFonts w:hint="eastAsia"/>
          <w:szCs w:val="21"/>
        </w:rPr>
        <w:t>I</w:t>
      </w:r>
      <w:r>
        <w:rPr>
          <w:szCs w:val="21"/>
        </w:rPr>
        <w:t>n RAN</w:t>
      </w:r>
      <w:r>
        <w:rPr>
          <w:rFonts w:hint="eastAsia"/>
          <w:szCs w:val="21"/>
        </w:rPr>
        <w:t>1</w:t>
      </w:r>
      <w:r>
        <w:rPr>
          <w:szCs w:val="21"/>
        </w:rPr>
        <w:t xml:space="preserve"> #</w:t>
      </w:r>
      <w:r>
        <w:rPr>
          <w:rFonts w:hint="eastAsia"/>
          <w:szCs w:val="21"/>
        </w:rPr>
        <w:t>109-</w:t>
      </w:r>
      <w:r>
        <w:rPr>
          <w:szCs w:val="21"/>
        </w:rPr>
        <w:t xml:space="preserve">e meeting, </w:t>
      </w:r>
      <w:r>
        <w:rPr>
          <w:rFonts w:hint="eastAsia"/>
          <w:szCs w:val="21"/>
        </w:rPr>
        <w:t>some agreements have been reached</w:t>
      </w:r>
      <w:r>
        <w:rPr>
          <w:szCs w:val="21"/>
        </w:rPr>
        <w:t xml:space="preserve"> as follows [1]:</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2" w:type="dxa"/>
          </w:tcPr>
          <w:p>
            <w:pPr>
              <w:spacing w:before="120" w:after="120" w:line="260" w:lineRule="auto"/>
              <w:rPr>
                <w:b/>
                <w:szCs w:val="21"/>
                <w:highlight w:val="green"/>
              </w:rPr>
            </w:pPr>
            <w:r>
              <w:rPr>
                <w:b/>
                <w:szCs w:val="21"/>
                <w:highlight w:val="green"/>
              </w:rPr>
              <w:t>Agreement</w:t>
            </w:r>
          </w:p>
          <w:p>
            <w:pPr>
              <w:pStyle w:val="34"/>
              <w:overflowPunct w:val="0"/>
              <w:autoSpaceDE w:val="0"/>
              <w:autoSpaceDN w:val="0"/>
              <w:adjustRightInd w:val="0"/>
              <w:spacing w:before="120" w:beforeLines="50" w:after="120" w:line="260" w:lineRule="auto"/>
              <w:ind w:left="0"/>
              <w:textAlignment w:val="baseline"/>
              <w:rPr>
                <w:bCs/>
                <w:sz w:val="21"/>
                <w:szCs w:val="21"/>
              </w:rPr>
            </w:pPr>
            <w:r>
              <w:rPr>
                <w:bCs/>
                <w:sz w:val="21"/>
                <w:szCs w:val="21"/>
              </w:rPr>
              <w:t>For evaluation purpose, the energy consumption modeling for a BS includes at least the following:</w:t>
            </w:r>
          </w:p>
          <w:p>
            <w:pPr>
              <w:pStyle w:val="34"/>
              <w:numPr>
                <w:ilvl w:val="0"/>
                <w:numId w:val="8"/>
              </w:numPr>
              <w:overflowPunct w:val="0"/>
              <w:autoSpaceDE w:val="0"/>
              <w:autoSpaceDN w:val="0"/>
              <w:adjustRightInd w:val="0"/>
              <w:spacing w:before="120" w:beforeLines="50" w:after="120" w:line="260" w:lineRule="auto"/>
              <w:textAlignment w:val="baseline"/>
              <w:rPr>
                <w:bCs/>
                <w:sz w:val="21"/>
                <w:szCs w:val="21"/>
              </w:rPr>
            </w:pPr>
            <w:r>
              <w:rPr>
                <w:bCs/>
                <w:sz w:val="21"/>
                <w:szCs w:val="21"/>
              </w:rPr>
              <w:t>Reference configuration</w:t>
            </w:r>
          </w:p>
          <w:p>
            <w:pPr>
              <w:pStyle w:val="34"/>
              <w:numPr>
                <w:ilvl w:val="2"/>
                <w:numId w:val="9"/>
              </w:numPr>
              <w:overflowPunct w:val="0"/>
              <w:autoSpaceDE w:val="0"/>
              <w:autoSpaceDN w:val="0"/>
              <w:spacing w:before="120" w:beforeLines="50" w:after="120" w:line="260" w:lineRule="auto"/>
              <w:textAlignment w:val="baseline"/>
              <w:rPr>
                <w:sz w:val="21"/>
                <w:szCs w:val="21"/>
              </w:rPr>
            </w:pPr>
            <w:r>
              <w:rPr>
                <w:sz w:val="21"/>
                <w:szCs w:val="21"/>
              </w:rPr>
              <w:t>FFS other details</w:t>
            </w:r>
          </w:p>
          <w:p>
            <w:pPr>
              <w:pStyle w:val="34"/>
              <w:numPr>
                <w:ilvl w:val="2"/>
                <w:numId w:val="9"/>
              </w:numPr>
              <w:overflowPunct w:val="0"/>
              <w:autoSpaceDE w:val="0"/>
              <w:autoSpaceDN w:val="0"/>
              <w:spacing w:before="120" w:beforeLines="50" w:after="120" w:line="260" w:lineRule="auto"/>
              <w:textAlignment w:val="baseline"/>
              <w:rPr>
                <w:sz w:val="21"/>
                <w:szCs w:val="21"/>
              </w:rPr>
            </w:pPr>
            <w:r>
              <w:rPr>
                <w:sz w:val="21"/>
                <w:szCs w:val="21"/>
              </w:rPr>
              <w:t>Note FR1 and FR2 to be separately considered for detailed parameters</w:t>
            </w:r>
          </w:p>
          <w:p>
            <w:pPr>
              <w:pStyle w:val="34"/>
              <w:numPr>
                <w:ilvl w:val="0"/>
                <w:numId w:val="8"/>
              </w:numPr>
              <w:overflowPunct w:val="0"/>
              <w:autoSpaceDE w:val="0"/>
              <w:autoSpaceDN w:val="0"/>
              <w:adjustRightInd w:val="0"/>
              <w:spacing w:before="120" w:beforeLines="50" w:after="120" w:line="260" w:lineRule="auto"/>
              <w:textAlignment w:val="baseline"/>
              <w:rPr>
                <w:bCs/>
                <w:sz w:val="21"/>
                <w:szCs w:val="21"/>
              </w:rPr>
            </w:pPr>
            <w:r>
              <w:rPr>
                <w:bCs/>
                <w:sz w:val="21"/>
                <w:szCs w:val="21"/>
              </w:rPr>
              <w:t>Multiple power state(s) including sleep/non-sleep mode(s) with relative power, and associated transition time/energy</w:t>
            </w:r>
          </w:p>
          <w:p>
            <w:pPr>
              <w:pStyle w:val="34"/>
              <w:numPr>
                <w:ilvl w:val="0"/>
                <w:numId w:val="8"/>
              </w:numPr>
              <w:overflowPunct w:val="0"/>
              <w:autoSpaceDE w:val="0"/>
              <w:autoSpaceDN w:val="0"/>
              <w:adjustRightInd w:val="0"/>
              <w:spacing w:before="120" w:beforeLines="50" w:after="120" w:line="260" w:lineRule="auto"/>
              <w:textAlignment w:val="baseline"/>
              <w:rPr>
                <w:bCs/>
                <w:sz w:val="21"/>
                <w:szCs w:val="21"/>
              </w:rPr>
            </w:pPr>
            <w:r>
              <w:rPr>
                <w:bCs/>
                <w:sz w:val="21"/>
                <w:szCs w:val="21"/>
              </w:rPr>
              <w:t>Scaling method to be applied at least for non-sleep mode.</w:t>
            </w:r>
          </w:p>
          <w:p>
            <w:pPr>
              <w:pStyle w:val="34"/>
              <w:numPr>
                <w:ilvl w:val="2"/>
                <w:numId w:val="9"/>
              </w:numPr>
              <w:overflowPunct w:val="0"/>
              <w:autoSpaceDE w:val="0"/>
              <w:autoSpaceDN w:val="0"/>
              <w:spacing w:before="120" w:beforeLines="50" w:after="120" w:line="260" w:lineRule="auto"/>
              <w:textAlignment w:val="baseline"/>
              <w:rPr>
                <w:sz w:val="21"/>
                <w:szCs w:val="21"/>
              </w:rPr>
            </w:pPr>
            <w:r>
              <w:rPr>
                <w:sz w:val="21"/>
                <w:szCs w:val="21"/>
              </w:rPr>
              <w:t>FFS other details including scaling for sleep mode</w:t>
            </w:r>
          </w:p>
          <w:p>
            <w:pPr>
              <w:spacing w:before="120" w:after="120" w:line="260" w:lineRule="auto"/>
              <w:rPr>
                <w:iCs/>
                <w:szCs w:val="21"/>
              </w:rPr>
            </w:pPr>
          </w:p>
          <w:p>
            <w:pPr>
              <w:spacing w:before="120" w:after="120" w:line="260" w:lineRule="auto"/>
              <w:rPr>
                <w:b/>
                <w:iCs/>
                <w:szCs w:val="21"/>
                <w:highlight w:val="green"/>
              </w:rPr>
            </w:pPr>
            <w:r>
              <w:rPr>
                <w:b/>
                <w:iCs/>
                <w:szCs w:val="21"/>
                <w:highlight w:val="green"/>
              </w:rPr>
              <w:t>Agreement</w:t>
            </w:r>
          </w:p>
          <w:p>
            <w:pPr>
              <w:pStyle w:val="34"/>
              <w:overflowPunct w:val="0"/>
              <w:autoSpaceDE w:val="0"/>
              <w:autoSpaceDN w:val="0"/>
              <w:spacing w:before="120" w:beforeLines="50" w:after="120" w:line="260" w:lineRule="auto"/>
              <w:ind w:left="0"/>
              <w:textAlignment w:val="baseline"/>
              <w:rPr>
                <w:sz w:val="21"/>
                <w:szCs w:val="21"/>
              </w:rPr>
            </w:pPr>
            <w:r>
              <w:rPr>
                <w:sz w:val="21"/>
                <w:szCs w:val="21"/>
              </w:rPr>
              <w:t>For evaluation purpose, the BS energy consumption model should at least include the power consumption of BS on slot-level.</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Note that symbol-level power consumption to reflect different BW (or RB utilization) / time-occupancy / tx-rx direction of different symbols in a slot is considered.</w:t>
            </w:r>
          </w:p>
          <w:p>
            <w:pPr>
              <w:pStyle w:val="34"/>
              <w:numPr>
                <w:ilvl w:val="2"/>
                <w:numId w:val="9"/>
              </w:numPr>
              <w:overflowPunct w:val="0"/>
              <w:autoSpaceDE w:val="0"/>
              <w:autoSpaceDN w:val="0"/>
              <w:spacing w:before="120" w:beforeLines="50" w:after="120" w:line="260" w:lineRule="auto"/>
              <w:textAlignment w:val="baseline"/>
              <w:rPr>
                <w:sz w:val="21"/>
                <w:szCs w:val="21"/>
              </w:rPr>
            </w:pPr>
            <w:r>
              <w:rPr>
                <w:sz w:val="21"/>
                <w:szCs w:val="21"/>
              </w:rPr>
              <w:t>FFS details (e.g. explicit symbol-level power modelling, scaling slot-level power to symbol level power for various cases, etc.)</w:t>
            </w:r>
          </w:p>
          <w:p>
            <w:pPr>
              <w:pStyle w:val="34"/>
              <w:numPr>
                <w:ilvl w:val="2"/>
                <w:numId w:val="9"/>
              </w:numPr>
              <w:overflowPunct w:val="0"/>
              <w:autoSpaceDE w:val="0"/>
              <w:autoSpaceDN w:val="0"/>
              <w:spacing w:before="120" w:beforeLines="50" w:after="120" w:line="260" w:lineRule="auto"/>
              <w:textAlignment w:val="baseline"/>
              <w:rPr>
                <w:sz w:val="21"/>
                <w:szCs w:val="21"/>
              </w:rPr>
            </w:pPr>
            <w:r>
              <w:rPr>
                <w:sz w:val="21"/>
                <w:szCs w:val="21"/>
              </w:rPr>
              <w:t>Note: system simulation evaluations can be per slot regardless of detailed approach for calculating symbol-level power consumption.</w:t>
            </w:r>
          </w:p>
          <w:p>
            <w:pPr>
              <w:spacing w:before="120" w:after="120" w:line="260" w:lineRule="auto"/>
              <w:rPr>
                <w:iCs/>
                <w:szCs w:val="21"/>
              </w:rPr>
            </w:pPr>
          </w:p>
          <w:p>
            <w:pPr>
              <w:spacing w:before="120" w:after="120" w:line="260" w:lineRule="auto"/>
              <w:rPr>
                <w:b/>
                <w:iCs/>
                <w:szCs w:val="21"/>
                <w:highlight w:val="green"/>
              </w:rPr>
            </w:pPr>
            <w:r>
              <w:rPr>
                <w:b/>
                <w:iCs/>
                <w:szCs w:val="21"/>
                <w:highlight w:val="green"/>
              </w:rPr>
              <w:t>Agreement</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For evaluation, at least for non-sleep mode and TDD, the BS power consumption for DL and UL are separately modelled, allowing DL-only transmission or UL-only reception.</w:t>
            </w:r>
          </w:p>
          <w:p>
            <w:pPr>
              <w:pStyle w:val="34"/>
              <w:numPr>
                <w:ilvl w:val="2"/>
                <w:numId w:val="9"/>
              </w:numPr>
              <w:overflowPunct w:val="0"/>
              <w:autoSpaceDE w:val="0"/>
              <w:autoSpaceDN w:val="0"/>
              <w:spacing w:before="120" w:beforeLines="50" w:after="120" w:line="260" w:lineRule="auto"/>
              <w:textAlignment w:val="baseline"/>
              <w:rPr>
                <w:sz w:val="21"/>
                <w:szCs w:val="21"/>
              </w:rPr>
            </w:pPr>
            <w:r>
              <w:rPr>
                <w:sz w:val="21"/>
                <w:szCs w:val="21"/>
              </w:rPr>
              <w:t>FFS: whether UL-only reception energy consumption model can be derived/simplified from DL-only transmission energy consumption model</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FFS: the impact of UL reception and/or DL transmission on sleep modes and associated transition time/energy</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FFS: whether/how to define an idle state, where BS is neither transmitting nor receiving but also doesn’t enter into any sleep mode or define it as sleep mode</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FFS: whether the model for FDD can be based on the model for TDD</w:t>
            </w:r>
          </w:p>
          <w:p>
            <w:pPr>
              <w:spacing w:before="120" w:after="120" w:line="260" w:lineRule="auto"/>
              <w:rPr>
                <w:iCs/>
                <w:szCs w:val="21"/>
              </w:rPr>
            </w:pPr>
          </w:p>
          <w:p>
            <w:pPr>
              <w:spacing w:before="120" w:after="120" w:line="260" w:lineRule="auto"/>
              <w:rPr>
                <w:b/>
                <w:iCs/>
                <w:szCs w:val="21"/>
                <w:highlight w:val="green"/>
              </w:rPr>
            </w:pPr>
            <w:r>
              <w:rPr>
                <w:b/>
                <w:iCs/>
                <w:szCs w:val="21"/>
                <w:highlight w:val="green"/>
              </w:rPr>
              <w:t>Agreement</w:t>
            </w:r>
          </w:p>
          <w:p>
            <w:pPr>
              <w:pStyle w:val="34"/>
              <w:overflowPunct w:val="0"/>
              <w:autoSpaceDE w:val="0"/>
              <w:autoSpaceDN w:val="0"/>
              <w:spacing w:before="120" w:beforeLines="50" w:after="120" w:line="260" w:lineRule="auto"/>
              <w:ind w:left="0"/>
              <w:textAlignment w:val="baseline"/>
              <w:rPr>
                <w:bCs/>
                <w:sz w:val="21"/>
                <w:szCs w:val="21"/>
              </w:rPr>
            </w:pPr>
            <w:r>
              <w:rPr>
                <w:bCs/>
                <w:sz w:val="21"/>
                <w:szCs w:val="21"/>
              </w:rPr>
              <w:t xml:space="preserve">For evaluation purpose, </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Study how to define sleep modes and determine the characteristics for each mode from one or multiple of the below</w:t>
            </w:r>
          </w:p>
          <w:p>
            <w:pPr>
              <w:pStyle w:val="34"/>
              <w:numPr>
                <w:ilvl w:val="1"/>
                <w:numId w:val="10"/>
              </w:numPr>
              <w:overflowPunct w:val="0"/>
              <w:autoSpaceDE w:val="0"/>
              <w:autoSpaceDN w:val="0"/>
              <w:spacing w:before="120" w:beforeLines="50" w:after="120" w:line="260" w:lineRule="auto"/>
              <w:ind w:left="1276" w:hanging="425"/>
              <w:textAlignment w:val="baseline"/>
              <w:rPr>
                <w:sz w:val="21"/>
                <w:szCs w:val="21"/>
              </w:rPr>
            </w:pPr>
            <w:r>
              <w:rPr>
                <w:sz w:val="21"/>
                <w:szCs w:val="21"/>
              </w:rPr>
              <w:t xml:space="preserve">Relative power </w:t>
            </w:r>
          </w:p>
          <w:p>
            <w:pPr>
              <w:pStyle w:val="34"/>
              <w:numPr>
                <w:ilvl w:val="1"/>
                <w:numId w:val="10"/>
              </w:numPr>
              <w:overflowPunct w:val="0"/>
              <w:autoSpaceDE w:val="0"/>
              <w:autoSpaceDN w:val="0"/>
              <w:spacing w:before="120" w:beforeLines="50" w:after="120" w:line="260" w:lineRule="auto"/>
              <w:ind w:left="1276" w:hanging="425"/>
              <w:textAlignment w:val="baseline"/>
              <w:rPr>
                <w:sz w:val="21"/>
                <w:szCs w:val="21"/>
              </w:rPr>
            </w:pPr>
            <w:r>
              <w:rPr>
                <w:sz w:val="21"/>
                <w:szCs w:val="21"/>
              </w:rPr>
              <w:t>Transition time</w:t>
            </w:r>
          </w:p>
          <w:p>
            <w:pPr>
              <w:pStyle w:val="34"/>
              <w:numPr>
                <w:ilvl w:val="1"/>
                <w:numId w:val="10"/>
              </w:numPr>
              <w:overflowPunct w:val="0"/>
              <w:autoSpaceDE w:val="0"/>
              <w:autoSpaceDN w:val="0"/>
              <w:spacing w:before="120" w:beforeLines="50" w:after="120" w:line="260" w:lineRule="auto"/>
              <w:ind w:left="1276" w:hanging="425"/>
              <w:textAlignment w:val="baseline"/>
              <w:rPr>
                <w:sz w:val="21"/>
                <w:szCs w:val="21"/>
              </w:rPr>
            </w:pPr>
            <w:r>
              <w:rPr>
                <w:sz w:val="21"/>
                <w:szCs w:val="21"/>
              </w:rPr>
              <w:t>Transition energy</w:t>
            </w:r>
          </w:p>
          <w:p>
            <w:pPr>
              <w:pStyle w:val="34"/>
              <w:numPr>
                <w:ilvl w:val="1"/>
                <w:numId w:val="10"/>
              </w:numPr>
              <w:overflowPunct w:val="0"/>
              <w:autoSpaceDE w:val="0"/>
              <w:autoSpaceDN w:val="0"/>
              <w:spacing w:before="120" w:beforeLines="50" w:after="120" w:line="260" w:lineRule="auto"/>
              <w:ind w:left="1276" w:hanging="425"/>
              <w:textAlignment w:val="baseline"/>
              <w:rPr>
                <w:sz w:val="21"/>
                <w:szCs w:val="21"/>
              </w:rPr>
            </w:pPr>
            <w:r>
              <w:rPr>
                <w:sz w:val="21"/>
                <w:szCs w:val="21"/>
              </w:rPr>
              <w:t>Other approaches are not precluded</w:t>
            </w:r>
          </w:p>
          <w:p>
            <w:pPr>
              <w:pStyle w:val="34"/>
              <w:numPr>
                <w:ilvl w:val="1"/>
                <w:numId w:val="10"/>
              </w:numPr>
              <w:overflowPunct w:val="0"/>
              <w:autoSpaceDE w:val="0"/>
              <w:autoSpaceDN w:val="0"/>
              <w:spacing w:before="120" w:beforeLines="50" w:after="120" w:line="260" w:lineRule="auto"/>
              <w:ind w:left="1276" w:hanging="425"/>
              <w:textAlignment w:val="baseline"/>
              <w:rPr>
                <w:sz w:val="21"/>
                <w:szCs w:val="21"/>
              </w:rPr>
            </w:pPr>
            <w:r>
              <w:rPr>
                <w:sz w:val="21"/>
                <w:szCs w:val="21"/>
              </w:rPr>
              <w:t>Note: BS components that can be turned off can be considered for discussion purpose when defining the specific values of the characteristics for sleep modes.</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Study whether sleep mode is defined for DL(TX) and UL(RX) jointly or separately</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Study the assumption of order for BS entering/resuming from a sleep mode to another mode (sleep or non-sleep) and the associated transition time and energy, i.e. state machine which may have impact on the transition energy.</w:t>
            </w:r>
          </w:p>
          <w:p>
            <w:pPr>
              <w:spacing w:before="120" w:after="120" w:line="260" w:lineRule="auto"/>
              <w:rPr>
                <w:iCs/>
                <w:szCs w:val="21"/>
              </w:rPr>
            </w:pPr>
          </w:p>
          <w:p>
            <w:pPr>
              <w:spacing w:before="120" w:after="120" w:line="260" w:lineRule="auto"/>
              <w:rPr>
                <w:b/>
                <w:iCs/>
                <w:szCs w:val="21"/>
                <w:highlight w:val="green"/>
              </w:rPr>
            </w:pPr>
            <w:r>
              <w:rPr>
                <w:b/>
                <w:iCs/>
                <w:szCs w:val="21"/>
                <w:highlight w:val="green"/>
              </w:rPr>
              <w:t>Agreement</w:t>
            </w:r>
          </w:p>
          <w:p>
            <w:pPr>
              <w:pStyle w:val="34"/>
              <w:overflowPunct w:val="0"/>
              <w:autoSpaceDE w:val="0"/>
              <w:autoSpaceDN w:val="0"/>
              <w:adjustRightInd w:val="0"/>
              <w:spacing w:before="120" w:beforeLines="50" w:after="120" w:line="260" w:lineRule="auto"/>
              <w:ind w:left="0"/>
              <w:textAlignment w:val="baseline"/>
              <w:rPr>
                <w:sz w:val="21"/>
                <w:szCs w:val="21"/>
              </w:rPr>
            </w:pPr>
            <w:r>
              <w:rPr>
                <w:sz w:val="21"/>
                <w:szCs w:val="21"/>
              </w:rPr>
              <w:t>For evaluation, the scaling in a BS energy consumption model can be considered based on one or more of the following,</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Number of used physical antenna elements, or TX/RX RUs</w:t>
            </w:r>
          </w:p>
          <w:p>
            <w:pPr>
              <w:pStyle w:val="34"/>
              <w:numPr>
                <w:ilvl w:val="1"/>
                <w:numId w:val="10"/>
              </w:numPr>
              <w:overflowPunct w:val="0"/>
              <w:autoSpaceDE w:val="0"/>
              <w:autoSpaceDN w:val="0"/>
              <w:spacing w:before="120" w:beforeLines="50" w:after="120" w:line="260" w:lineRule="auto"/>
              <w:ind w:left="1276" w:hanging="425"/>
              <w:textAlignment w:val="baseline"/>
              <w:rPr>
                <w:sz w:val="21"/>
                <w:szCs w:val="21"/>
              </w:rPr>
            </w:pPr>
            <w:r>
              <w:rPr>
                <w:sz w:val="21"/>
                <w:szCs w:val="21"/>
              </w:rPr>
              <w:t>FFS: Mapping between used TX/RX RUs and used antenna ports</w:t>
            </w:r>
          </w:p>
          <w:p>
            <w:pPr>
              <w:pStyle w:val="34"/>
              <w:numPr>
                <w:ilvl w:val="1"/>
                <w:numId w:val="10"/>
              </w:numPr>
              <w:overflowPunct w:val="0"/>
              <w:autoSpaceDE w:val="0"/>
              <w:autoSpaceDN w:val="0"/>
              <w:spacing w:before="120" w:beforeLines="50" w:after="120" w:line="260" w:lineRule="auto"/>
              <w:ind w:left="1276" w:hanging="425"/>
              <w:textAlignment w:val="baseline"/>
              <w:rPr>
                <w:sz w:val="21"/>
                <w:szCs w:val="21"/>
              </w:rPr>
            </w:pPr>
            <w:r>
              <w:rPr>
                <w:sz w:val="21"/>
                <w:szCs w:val="21"/>
              </w:rPr>
              <w:t>FFS: Mapping between physical antenna elements and TX/RX RUs</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Occupied BW/RBs for DL and/or UL in a slot/symbol in one CC</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number of CCs in CA</w:t>
            </w:r>
          </w:p>
          <w:p>
            <w:pPr>
              <w:pStyle w:val="34"/>
              <w:numPr>
                <w:ilvl w:val="1"/>
                <w:numId w:val="10"/>
              </w:numPr>
              <w:overflowPunct w:val="0"/>
              <w:autoSpaceDE w:val="0"/>
              <w:autoSpaceDN w:val="0"/>
              <w:spacing w:before="120" w:beforeLines="50" w:after="120" w:line="260" w:lineRule="auto"/>
              <w:ind w:left="1276" w:hanging="425"/>
              <w:textAlignment w:val="baseline"/>
              <w:rPr>
                <w:sz w:val="21"/>
                <w:szCs w:val="21"/>
              </w:rPr>
            </w:pPr>
            <w:r>
              <w:rPr>
                <w:sz w:val="21"/>
                <w:szCs w:val="21"/>
              </w:rPr>
              <w:t xml:space="preserve">FFS dependency of RF sharing </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number of TRPs</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 xml:space="preserve">PSD or transmit power </w:t>
            </w:r>
          </w:p>
          <w:p>
            <w:pPr>
              <w:pStyle w:val="34"/>
              <w:numPr>
                <w:ilvl w:val="1"/>
                <w:numId w:val="10"/>
              </w:numPr>
              <w:overflowPunct w:val="0"/>
              <w:autoSpaceDE w:val="0"/>
              <w:autoSpaceDN w:val="0"/>
              <w:spacing w:before="120" w:beforeLines="50" w:after="120" w:line="260" w:lineRule="auto"/>
              <w:ind w:left="1276" w:hanging="425"/>
              <w:textAlignment w:val="baseline"/>
              <w:rPr>
                <w:sz w:val="21"/>
                <w:szCs w:val="21"/>
              </w:rPr>
            </w:pPr>
            <w:r>
              <w:rPr>
                <w:sz w:val="21"/>
                <w:szCs w:val="21"/>
              </w:rPr>
              <w:t>FFS dependency on BW scaling</w:t>
            </w:r>
          </w:p>
          <w:p>
            <w:pPr>
              <w:pStyle w:val="34"/>
              <w:numPr>
                <w:ilvl w:val="1"/>
                <w:numId w:val="10"/>
              </w:numPr>
              <w:overflowPunct w:val="0"/>
              <w:autoSpaceDE w:val="0"/>
              <w:autoSpaceDN w:val="0"/>
              <w:spacing w:before="120" w:beforeLines="50" w:after="120" w:line="260" w:lineRule="auto"/>
              <w:ind w:left="1276" w:hanging="425"/>
              <w:textAlignment w:val="baseline"/>
              <w:rPr>
                <w:sz w:val="21"/>
                <w:szCs w:val="21"/>
              </w:rPr>
            </w:pPr>
            <w:r>
              <w:rPr>
                <w:sz w:val="21"/>
                <w:szCs w:val="21"/>
              </w:rPr>
              <w:t>FFS: PA energy efficiency value</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number of DL and/or UL symbols occupied within a slot</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FFS other domain scaling</w:t>
            </w:r>
          </w:p>
          <w:p>
            <w:pPr>
              <w:pStyle w:val="34"/>
              <w:numPr>
                <w:ilvl w:val="0"/>
                <w:numId w:val="10"/>
              </w:numPr>
              <w:overflowPunct w:val="0"/>
              <w:autoSpaceDE w:val="0"/>
              <w:autoSpaceDN w:val="0"/>
              <w:spacing w:before="120" w:beforeLines="50" w:after="120" w:line="260" w:lineRule="auto"/>
              <w:textAlignment w:val="baseline"/>
              <w:rPr>
                <w:sz w:val="21"/>
                <w:szCs w:val="21"/>
              </w:rPr>
            </w:pPr>
            <w:r>
              <w:rPr>
                <w:sz w:val="21"/>
                <w:szCs w:val="21"/>
              </w:rPr>
              <w:t>FFS scaling is linearly or else, for each domain</w:t>
            </w:r>
          </w:p>
          <w:p>
            <w:pPr>
              <w:pStyle w:val="34"/>
              <w:overflowPunct w:val="0"/>
              <w:autoSpaceDE w:val="0"/>
              <w:autoSpaceDN w:val="0"/>
              <w:adjustRightInd w:val="0"/>
              <w:spacing w:before="120" w:beforeLines="50" w:after="120" w:line="260" w:lineRule="auto"/>
              <w:ind w:left="0"/>
              <w:textAlignment w:val="baseline"/>
              <w:rPr>
                <w:b/>
                <w:sz w:val="21"/>
                <w:szCs w:val="21"/>
              </w:rPr>
            </w:pPr>
            <w:r>
              <w:rPr>
                <w:sz w:val="21"/>
                <w:szCs w:val="21"/>
              </w:rPr>
              <w:t>Above does not necessarily imply that BS energy consumption model that takes into account all listed scaling factors will be developed</w:t>
            </w:r>
          </w:p>
          <w:p>
            <w:pPr>
              <w:spacing w:before="120" w:after="120" w:line="260" w:lineRule="auto"/>
              <w:rPr>
                <w:iCs/>
                <w:szCs w:val="21"/>
              </w:rPr>
            </w:pPr>
          </w:p>
          <w:p>
            <w:pPr>
              <w:spacing w:before="120" w:after="120" w:line="260" w:lineRule="auto"/>
              <w:rPr>
                <w:b/>
                <w:iCs/>
                <w:szCs w:val="21"/>
                <w:highlight w:val="green"/>
              </w:rPr>
            </w:pPr>
            <w:r>
              <w:rPr>
                <w:b/>
                <w:iCs/>
                <w:szCs w:val="21"/>
                <w:highlight w:val="green"/>
              </w:rPr>
              <w:t>Agreement</w:t>
            </w:r>
          </w:p>
          <w:p>
            <w:pPr>
              <w:spacing w:before="120" w:after="120" w:line="260" w:lineRule="auto"/>
              <w:rPr>
                <w:iCs/>
                <w:szCs w:val="21"/>
              </w:rPr>
            </w:pPr>
            <w:r>
              <w:rPr>
                <w:iCs/>
                <w:szCs w:val="21"/>
              </w:rPr>
              <w:t>For BS energy consumption evaluation, in addition to the energy saving gain,</w:t>
            </w:r>
          </w:p>
          <w:p>
            <w:pPr>
              <w:numPr>
                <w:ilvl w:val="0"/>
                <w:numId w:val="10"/>
              </w:numPr>
              <w:spacing w:before="120" w:after="120" w:line="260" w:lineRule="auto"/>
              <w:rPr>
                <w:iCs/>
                <w:szCs w:val="21"/>
              </w:rPr>
            </w:pPr>
            <w:r>
              <w:rPr>
                <w:iCs/>
                <w:szCs w:val="21"/>
              </w:rPr>
              <w:t>At least UPT/UE power consumption/access delay/latency should be considered for performance impact evaluation</w:t>
            </w:r>
          </w:p>
          <w:p>
            <w:pPr>
              <w:numPr>
                <w:ilvl w:val="0"/>
                <w:numId w:val="10"/>
              </w:numPr>
              <w:spacing w:before="120" w:after="120" w:line="260" w:lineRule="auto"/>
              <w:rPr>
                <w:iCs/>
                <w:szCs w:val="21"/>
              </w:rPr>
            </w:pPr>
            <w:r>
              <w:rPr>
                <w:iCs/>
                <w:szCs w:val="21"/>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pPr>
              <w:spacing w:before="120" w:after="120" w:line="260" w:lineRule="auto"/>
              <w:rPr>
                <w:iCs/>
                <w:szCs w:val="21"/>
              </w:rPr>
            </w:pPr>
          </w:p>
          <w:p>
            <w:pPr>
              <w:spacing w:before="120" w:after="120" w:line="260" w:lineRule="auto"/>
              <w:rPr>
                <w:b/>
                <w:iCs/>
                <w:szCs w:val="21"/>
                <w:highlight w:val="green"/>
              </w:rPr>
            </w:pPr>
            <w:r>
              <w:rPr>
                <w:b/>
                <w:iCs/>
                <w:szCs w:val="21"/>
                <w:highlight w:val="green"/>
              </w:rPr>
              <w:t>Agreement</w:t>
            </w:r>
          </w:p>
          <w:p>
            <w:pPr>
              <w:spacing w:before="120" w:after="120" w:line="260" w:lineRule="auto"/>
              <w:rPr>
                <w:iCs/>
                <w:szCs w:val="21"/>
              </w:rPr>
            </w:pPr>
            <w:r>
              <w:rPr>
                <w:iCs/>
                <w:szCs w:val="21"/>
              </w:rPr>
              <w:t>At least urban macro is prioritized for FR1. FFS the baseline deployment assumption for FR2.</w:t>
            </w:r>
          </w:p>
          <w:p>
            <w:pPr>
              <w:spacing w:before="120" w:after="120" w:line="260" w:lineRule="auto"/>
              <w:rPr>
                <w:iCs/>
                <w:szCs w:val="21"/>
              </w:rPr>
            </w:pPr>
          </w:p>
          <w:p>
            <w:pPr>
              <w:spacing w:before="120" w:after="120" w:line="260" w:lineRule="auto"/>
              <w:rPr>
                <w:b/>
                <w:iCs/>
                <w:szCs w:val="21"/>
                <w:highlight w:val="green"/>
              </w:rPr>
            </w:pPr>
            <w:r>
              <w:rPr>
                <w:b/>
                <w:iCs/>
                <w:szCs w:val="21"/>
                <w:highlight w:val="green"/>
              </w:rPr>
              <w:t>Agreement</w:t>
            </w:r>
          </w:p>
          <w:p>
            <w:pPr>
              <w:numPr>
                <w:ilvl w:val="0"/>
                <w:numId w:val="10"/>
              </w:numPr>
              <w:spacing w:before="120" w:after="120" w:line="260" w:lineRule="auto"/>
              <w:rPr>
                <w:iCs/>
                <w:szCs w:val="21"/>
              </w:rPr>
            </w:pPr>
            <w:r>
              <w:rPr>
                <w:iCs/>
                <w:szCs w:val="21"/>
              </w:rPr>
              <w:t xml:space="preserve">FTP3 (0.5MB as packet size, 200ms as mean inter-arrival time), FTP3 IM (0.1MB as packet size, 2s as mean inter-arrival time) and VOIP can be considered in the evaluation </w:t>
            </w:r>
          </w:p>
          <w:p>
            <w:pPr>
              <w:numPr>
                <w:ilvl w:val="0"/>
                <w:numId w:val="10"/>
              </w:numPr>
              <w:spacing w:before="120" w:after="120" w:line="260" w:lineRule="auto"/>
              <w:rPr>
                <w:iCs/>
                <w:szCs w:val="21"/>
              </w:rPr>
            </w:pPr>
            <w:r>
              <w:rPr>
                <w:iCs/>
                <w:szCs w:val="21"/>
              </w:rPr>
              <w:t>FFS: with possible further prioritization, different model between DL and UL, and/or other traffic models that can be optionally considered.</w:t>
            </w:r>
          </w:p>
          <w:p>
            <w:pPr>
              <w:spacing w:before="120" w:after="120" w:line="260" w:lineRule="auto"/>
              <w:rPr>
                <w:rFonts w:eastAsia="Malgun Gothic"/>
                <w:color w:val="1F497D"/>
                <w:szCs w:val="21"/>
                <w:lang w:eastAsia="ko-KR"/>
              </w:rPr>
            </w:pPr>
            <w:r>
              <w:rPr>
                <w:szCs w:val="21"/>
              </w:rPr>
              <w:t>FFS associated scenarios/configurations, e.g. C-DRX.</w:t>
            </w:r>
          </w:p>
          <w:p>
            <w:pPr>
              <w:spacing w:before="120" w:after="120" w:line="260" w:lineRule="auto"/>
              <w:rPr>
                <w:iCs/>
                <w:szCs w:val="21"/>
              </w:rPr>
            </w:pPr>
          </w:p>
          <w:p>
            <w:pPr>
              <w:spacing w:before="120" w:after="120" w:line="260" w:lineRule="auto"/>
              <w:rPr>
                <w:b/>
                <w:szCs w:val="21"/>
                <w:highlight w:val="green"/>
              </w:rPr>
            </w:pPr>
            <w:r>
              <w:rPr>
                <w:rFonts w:eastAsia="Malgun Gothic"/>
                <w:b/>
                <w:szCs w:val="21"/>
                <w:highlight w:val="green"/>
              </w:rPr>
              <w:t>Agreement</w:t>
            </w:r>
          </w:p>
          <w:p>
            <w:pPr>
              <w:pStyle w:val="34"/>
              <w:overflowPunct w:val="0"/>
              <w:autoSpaceDE w:val="0"/>
              <w:autoSpaceDN w:val="0"/>
              <w:spacing w:before="120" w:beforeLines="50" w:after="120" w:line="260" w:lineRule="auto"/>
              <w:ind w:left="0"/>
              <w:rPr>
                <w:sz w:val="21"/>
                <w:szCs w:val="21"/>
              </w:rPr>
            </w:pPr>
            <w:r>
              <w:rPr>
                <w:bCs/>
                <w:sz w:val="21"/>
                <w:szCs w:val="21"/>
              </w:rPr>
              <w:t>For evaluation and BS energy consumption modeling purpose,</w:t>
            </w:r>
            <w:r>
              <w:rPr>
                <w:sz w:val="21"/>
                <w:szCs w:val="21"/>
              </w:rPr>
              <w:t xml:space="preserve"> for single CC case, at least the following in table should be considered for reference configuration</w:t>
            </w:r>
          </w:p>
          <w:p>
            <w:pPr>
              <w:pStyle w:val="34"/>
              <w:numPr>
                <w:ilvl w:val="0"/>
                <w:numId w:val="10"/>
              </w:numPr>
              <w:overflowPunct w:val="0"/>
              <w:autoSpaceDE w:val="0"/>
              <w:autoSpaceDN w:val="0"/>
              <w:spacing w:before="120" w:beforeLines="50" w:after="120" w:line="260" w:lineRule="auto"/>
              <w:rPr>
                <w:sz w:val="21"/>
                <w:szCs w:val="21"/>
              </w:rPr>
            </w:pPr>
            <w:r>
              <w:rPr>
                <w:sz w:val="21"/>
                <w:szCs w:val="21"/>
              </w:rPr>
              <w:t>Note: other TX-RX RU number and corresponding BS antenna configuration can be considered in SLS assumptions</w:t>
            </w:r>
          </w:p>
          <w:tbl>
            <w:tblPr>
              <w:tblStyle w:val="16"/>
              <w:tblW w:w="92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0"/>
              <w:gridCol w:w="1966"/>
              <w:gridCol w:w="2474"/>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2020" w:type="dxa"/>
                  <w:shd w:val="clear" w:color="auto" w:fill="auto"/>
                </w:tcPr>
                <w:p>
                  <w:pPr>
                    <w:spacing w:before="0" w:beforeLines="0" w:after="120"/>
                    <w:rPr>
                      <w:szCs w:val="21"/>
                    </w:rPr>
                  </w:pPr>
                </w:p>
              </w:tc>
              <w:tc>
                <w:tcPr>
                  <w:tcW w:w="1966" w:type="dxa"/>
                  <w:shd w:val="clear" w:color="auto" w:fill="auto"/>
                </w:tcPr>
                <w:p>
                  <w:pPr>
                    <w:spacing w:before="0" w:beforeLines="0" w:after="120"/>
                    <w:rPr>
                      <w:szCs w:val="21"/>
                    </w:rPr>
                  </w:pPr>
                  <w:r>
                    <w:rPr>
                      <w:szCs w:val="21"/>
                    </w:rPr>
                    <w:t>Set 1 FR1</w:t>
                  </w:r>
                </w:p>
              </w:tc>
              <w:tc>
                <w:tcPr>
                  <w:tcW w:w="2474" w:type="dxa"/>
                  <w:shd w:val="clear" w:color="auto" w:fill="auto"/>
                </w:tcPr>
                <w:p>
                  <w:pPr>
                    <w:spacing w:before="0" w:beforeLines="0" w:after="120"/>
                    <w:rPr>
                      <w:szCs w:val="21"/>
                    </w:rPr>
                  </w:pPr>
                  <w:r>
                    <w:rPr>
                      <w:szCs w:val="21"/>
                    </w:rPr>
                    <w:t>Set 2 FR1</w:t>
                  </w:r>
                </w:p>
              </w:tc>
              <w:tc>
                <w:tcPr>
                  <w:tcW w:w="2777" w:type="dxa"/>
                  <w:shd w:val="clear" w:color="auto" w:fill="auto"/>
                </w:tcPr>
                <w:p>
                  <w:pPr>
                    <w:spacing w:before="0" w:beforeLines="0" w:after="120"/>
                    <w:rPr>
                      <w:szCs w:val="21"/>
                    </w:rPr>
                  </w:pPr>
                  <w:r>
                    <w:rPr>
                      <w:szCs w:val="21"/>
                    </w:rPr>
                    <w:t>Set 3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2020" w:type="dxa"/>
                  <w:shd w:val="clear" w:color="auto" w:fill="auto"/>
                </w:tcPr>
                <w:p>
                  <w:pPr>
                    <w:spacing w:before="0" w:beforeLines="0" w:after="120"/>
                    <w:rPr>
                      <w:szCs w:val="21"/>
                    </w:rPr>
                  </w:pPr>
                  <w:r>
                    <w:rPr>
                      <w:szCs w:val="21"/>
                    </w:rPr>
                    <w:t>Duplex</w:t>
                  </w:r>
                </w:p>
              </w:tc>
              <w:tc>
                <w:tcPr>
                  <w:tcW w:w="1966" w:type="dxa"/>
                  <w:shd w:val="clear" w:color="auto" w:fill="auto"/>
                </w:tcPr>
                <w:p>
                  <w:pPr>
                    <w:spacing w:before="0" w:beforeLines="0" w:after="120"/>
                    <w:rPr>
                      <w:szCs w:val="21"/>
                    </w:rPr>
                  </w:pPr>
                  <w:r>
                    <w:rPr>
                      <w:szCs w:val="21"/>
                    </w:rPr>
                    <w:t>TDD</w:t>
                  </w:r>
                </w:p>
              </w:tc>
              <w:tc>
                <w:tcPr>
                  <w:tcW w:w="2474" w:type="dxa"/>
                  <w:shd w:val="clear" w:color="auto" w:fill="auto"/>
                </w:tcPr>
                <w:p>
                  <w:pPr>
                    <w:spacing w:before="0" w:beforeLines="0" w:after="120"/>
                    <w:rPr>
                      <w:szCs w:val="21"/>
                    </w:rPr>
                  </w:pPr>
                  <w:r>
                    <w:rPr>
                      <w:szCs w:val="21"/>
                    </w:rPr>
                    <w:t>FDD</w:t>
                  </w:r>
                </w:p>
              </w:tc>
              <w:tc>
                <w:tcPr>
                  <w:tcW w:w="2777" w:type="dxa"/>
                  <w:shd w:val="clear" w:color="auto" w:fill="auto"/>
                </w:tcPr>
                <w:p>
                  <w:pPr>
                    <w:spacing w:before="0" w:beforeLines="0" w:after="120"/>
                    <w:rPr>
                      <w:szCs w:val="21"/>
                    </w:rPr>
                  </w:pPr>
                  <w:r>
                    <w:rPr>
                      <w:szCs w:val="21"/>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2020" w:type="dxa"/>
                  <w:shd w:val="clear" w:color="auto" w:fill="auto"/>
                </w:tcPr>
                <w:p>
                  <w:pPr>
                    <w:spacing w:before="0" w:beforeLines="0" w:after="120"/>
                    <w:rPr>
                      <w:szCs w:val="21"/>
                    </w:rPr>
                  </w:pPr>
                  <w:r>
                    <w:rPr>
                      <w:szCs w:val="21"/>
                    </w:rPr>
                    <w:t>System BW</w:t>
                  </w:r>
                </w:p>
              </w:tc>
              <w:tc>
                <w:tcPr>
                  <w:tcW w:w="1966" w:type="dxa"/>
                  <w:shd w:val="clear" w:color="auto" w:fill="auto"/>
                </w:tcPr>
                <w:p>
                  <w:pPr>
                    <w:spacing w:before="0" w:beforeLines="0" w:after="120"/>
                    <w:rPr>
                      <w:szCs w:val="21"/>
                    </w:rPr>
                  </w:pPr>
                  <w:r>
                    <w:rPr>
                      <w:szCs w:val="21"/>
                    </w:rPr>
                    <w:t>100 MHz</w:t>
                  </w:r>
                </w:p>
              </w:tc>
              <w:tc>
                <w:tcPr>
                  <w:tcW w:w="2474" w:type="dxa"/>
                  <w:shd w:val="clear" w:color="auto" w:fill="auto"/>
                </w:tcPr>
                <w:p>
                  <w:pPr>
                    <w:spacing w:before="0" w:beforeLines="0" w:after="120"/>
                    <w:rPr>
                      <w:szCs w:val="21"/>
                    </w:rPr>
                  </w:pPr>
                  <w:r>
                    <w:rPr>
                      <w:szCs w:val="21"/>
                    </w:rPr>
                    <w:t>20 MHz</w:t>
                  </w:r>
                </w:p>
              </w:tc>
              <w:tc>
                <w:tcPr>
                  <w:tcW w:w="2777" w:type="dxa"/>
                  <w:shd w:val="clear" w:color="auto" w:fill="auto"/>
                </w:tcPr>
                <w:p>
                  <w:pPr>
                    <w:spacing w:before="0" w:beforeLines="0" w:after="120"/>
                    <w:rPr>
                      <w:szCs w:val="21"/>
                    </w:rPr>
                  </w:pPr>
                  <w:r>
                    <w:rPr>
                      <w:szCs w:val="21"/>
                    </w:rPr>
                    <w:t>100</w:t>
                  </w:r>
                  <w:r>
                    <w:rPr>
                      <w:color w:val="FF0000"/>
                      <w:szCs w:val="21"/>
                    </w:rPr>
                    <w:t xml:space="preserve"> </w:t>
                  </w:r>
                  <w:r>
                    <w:rPr>
                      <w:szCs w:val="21"/>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trPr>
              <w:tc>
                <w:tcPr>
                  <w:tcW w:w="2020" w:type="dxa"/>
                  <w:shd w:val="clear" w:color="auto" w:fill="auto"/>
                </w:tcPr>
                <w:p>
                  <w:pPr>
                    <w:spacing w:before="0" w:beforeLines="0" w:after="120"/>
                    <w:rPr>
                      <w:szCs w:val="21"/>
                    </w:rPr>
                  </w:pPr>
                  <w:r>
                    <w:rPr>
                      <w:szCs w:val="21"/>
                    </w:rPr>
                    <w:t>SCS</w:t>
                  </w:r>
                </w:p>
              </w:tc>
              <w:tc>
                <w:tcPr>
                  <w:tcW w:w="1966" w:type="dxa"/>
                  <w:shd w:val="clear" w:color="auto" w:fill="auto"/>
                </w:tcPr>
                <w:p>
                  <w:pPr>
                    <w:spacing w:before="0" w:beforeLines="0" w:after="120"/>
                    <w:rPr>
                      <w:szCs w:val="21"/>
                    </w:rPr>
                  </w:pPr>
                  <w:r>
                    <w:rPr>
                      <w:szCs w:val="21"/>
                    </w:rPr>
                    <w:t>30 kHz</w:t>
                  </w:r>
                </w:p>
              </w:tc>
              <w:tc>
                <w:tcPr>
                  <w:tcW w:w="2474" w:type="dxa"/>
                  <w:shd w:val="clear" w:color="auto" w:fill="auto"/>
                </w:tcPr>
                <w:p>
                  <w:pPr>
                    <w:spacing w:before="0" w:beforeLines="0" w:after="120"/>
                    <w:rPr>
                      <w:szCs w:val="21"/>
                    </w:rPr>
                  </w:pPr>
                  <w:r>
                    <w:rPr>
                      <w:szCs w:val="21"/>
                    </w:rPr>
                    <w:t>15 kHz</w:t>
                  </w:r>
                </w:p>
              </w:tc>
              <w:tc>
                <w:tcPr>
                  <w:tcW w:w="2777" w:type="dxa"/>
                  <w:shd w:val="clear" w:color="auto" w:fill="auto"/>
                </w:tcPr>
                <w:p>
                  <w:pPr>
                    <w:spacing w:before="0" w:beforeLines="0" w:after="120"/>
                    <w:rPr>
                      <w:szCs w:val="21"/>
                    </w:rPr>
                  </w:pPr>
                  <w:r>
                    <w:rPr>
                      <w:szCs w:val="21"/>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2020" w:type="dxa"/>
                  <w:shd w:val="clear" w:color="auto" w:fill="auto"/>
                </w:tcPr>
                <w:p>
                  <w:pPr>
                    <w:spacing w:before="0" w:beforeLines="0" w:after="120"/>
                    <w:rPr>
                      <w:szCs w:val="21"/>
                    </w:rPr>
                  </w:pPr>
                  <w:r>
                    <w:rPr>
                      <w:szCs w:val="21"/>
                    </w:rPr>
                    <w:t>Number of TRP</w:t>
                  </w:r>
                </w:p>
              </w:tc>
              <w:tc>
                <w:tcPr>
                  <w:tcW w:w="1966" w:type="dxa"/>
                  <w:shd w:val="clear" w:color="auto" w:fill="auto"/>
                </w:tcPr>
                <w:p>
                  <w:pPr>
                    <w:overflowPunct w:val="0"/>
                    <w:spacing w:before="0" w:beforeLines="0" w:after="120"/>
                    <w:contextualSpacing/>
                    <w:rPr>
                      <w:szCs w:val="21"/>
                    </w:rPr>
                  </w:pPr>
                  <w:r>
                    <w:rPr>
                      <w:szCs w:val="21"/>
                    </w:rPr>
                    <w:t>1</w:t>
                  </w:r>
                </w:p>
              </w:tc>
              <w:tc>
                <w:tcPr>
                  <w:tcW w:w="2474" w:type="dxa"/>
                  <w:shd w:val="clear" w:color="auto" w:fill="auto"/>
                </w:tcPr>
                <w:p>
                  <w:pPr>
                    <w:spacing w:before="0" w:beforeLines="0" w:after="120"/>
                    <w:rPr>
                      <w:szCs w:val="21"/>
                    </w:rPr>
                  </w:pPr>
                  <w:r>
                    <w:rPr>
                      <w:szCs w:val="21"/>
                    </w:rPr>
                    <w:t>1</w:t>
                  </w:r>
                </w:p>
              </w:tc>
              <w:tc>
                <w:tcPr>
                  <w:tcW w:w="2777" w:type="dxa"/>
                  <w:shd w:val="clear" w:color="auto" w:fill="auto"/>
                </w:tcPr>
                <w:p>
                  <w:pPr>
                    <w:spacing w:before="0" w:beforeLines="0" w:after="120"/>
                    <w:rPr>
                      <w:szCs w:val="21"/>
                    </w:rPr>
                  </w:pPr>
                  <w:r>
                    <w:rPr>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020" w:type="dxa"/>
                  <w:shd w:val="clear" w:color="auto" w:fill="auto"/>
                </w:tcPr>
                <w:p>
                  <w:pPr>
                    <w:spacing w:before="0" w:beforeLines="0" w:after="120"/>
                    <w:rPr>
                      <w:szCs w:val="21"/>
                    </w:rPr>
                  </w:pPr>
                  <w:r>
                    <w:rPr>
                      <w:szCs w:val="21"/>
                    </w:rPr>
                    <w:t>Total number of DL TX RUs</w:t>
                  </w:r>
                </w:p>
              </w:tc>
              <w:tc>
                <w:tcPr>
                  <w:tcW w:w="1966" w:type="dxa"/>
                  <w:shd w:val="clear" w:color="auto" w:fill="auto"/>
                </w:tcPr>
                <w:p>
                  <w:pPr>
                    <w:spacing w:before="0" w:beforeLines="0" w:after="120"/>
                    <w:rPr>
                      <w:szCs w:val="21"/>
                    </w:rPr>
                  </w:pPr>
                  <w:r>
                    <w:rPr>
                      <w:szCs w:val="21"/>
                    </w:rPr>
                    <w:t>64</w:t>
                  </w:r>
                </w:p>
              </w:tc>
              <w:tc>
                <w:tcPr>
                  <w:tcW w:w="2474" w:type="dxa"/>
                  <w:shd w:val="clear" w:color="auto" w:fill="auto"/>
                </w:tcPr>
                <w:p>
                  <w:pPr>
                    <w:spacing w:before="0" w:beforeLines="0" w:after="120"/>
                    <w:rPr>
                      <w:color w:val="FFFFFF"/>
                      <w:szCs w:val="21"/>
                      <w:highlight w:val="darkYellow"/>
                    </w:rPr>
                  </w:pPr>
                  <w:r>
                    <w:rPr>
                      <w:color w:val="FFFFFF"/>
                      <w:szCs w:val="21"/>
                      <w:highlight w:val="darkYellow"/>
                    </w:rPr>
                    <w:t>(working assumption) 32</w:t>
                  </w:r>
                </w:p>
              </w:tc>
              <w:tc>
                <w:tcPr>
                  <w:tcW w:w="2777" w:type="dxa"/>
                  <w:shd w:val="clear" w:color="auto" w:fill="auto"/>
                </w:tcPr>
                <w:p>
                  <w:pPr>
                    <w:spacing w:before="0" w:beforeLines="0" w:after="120"/>
                    <w:rPr>
                      <w:strike/>
                      <w:color w:val="FF0000"/>
                      <w:szCs w:val="21"/>
                      <w:highlight w:val="green"/>
                    </w:rPr>
                  </w:pPr>
                  <w:r>
                    <w:rPr>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1" w:hRule="atLeast"/>
              </w:trPr>
              <w:tc>
                <w:tcPr>
                  <w:tcW w:w="2020" w:type="dxa"/>
                  <w:shd w:val="clear" w:color="auto" w:fill="auto"/>
                </w:tcPr>
                <w:p>
                  <w:pPr>
                    <w:spacing w:before="0" w:beforeLines="0" w:after="120"/>
                    <w:rPr>
                      <w:szCs w:val="21"/>
                    </w:rPr>
                  </w:pPr>
                  <w:r>
                    <w:rPr>
                      <w:szCs w:val="21"/>
                    </w:rPr>
                    <w:t>Total DL power level</w:t>
                  </w:r>
                </w:p>
              </w:tc>
              <w:tc>
                <w:tcPr>
                  <w:tcW w:w="1966" w:type="dxa"/>
                  <w:shd w:val="clear" w:color="auto" w:fill="auto"/>
                </w:tcPr>
                <w:p>
                  <w:pPr>
                    <w:spacing w:before="0" w:beforeLines="0" w:after="120"/>
                    <w:rPr>
                      <w:szCs w:val="21"/>
                    </w:rPr>
                  </w:pPr>
                  <w:r>
                    <w:rPr>
                      <w:szCs w:val="21"/>
                    </w:rPr>
                    <w:t>55dBm</w:t>
                  </w:r>
                </w:p>
              </w:tc>
              <w:tc>
                <w:tcPr>
                  <w:tcW w:w="2474" w:type="dxa"/>
                  <w:shd w:val="clear" w:color="auto" w:fill="auto"/>
                </w:tcPr>
                <w:p>
                  <w:pPr>
                    <w:spacing w:before="0" w:beforeLines="0" w:after="120"/>
                    <w:rPr>
                      <w:color w:val="FF0000"/>
                      <w:szCs w:val="21"/>
                    </w:rPr>
                  </w:pPr>
                  <w:r>
                    <w:rPr>
                      <w:color w:val="FF0000"/>
                      <w:szCs w:val="21"/>
                    </w:rPr>
                    <w:t>[49dBm] – to be further discussed and finalized in future meetings</w:t>
                  </w:r>
                </w:p>
                <w:p>
                  <w:pPr>
                    <w:spacing w:before="0" w:beforeLines="0" w:after="120"/>
                    <w:rPr>
                      <w:color w:val="FF0000"/>
                      <w:szCs w:val="21"/>
                      <w:highlight w:val="yellow"/>
                    </w:rPr>
                  </w:pPr>
                </w:p>
              </w:tc>
              <w:tc>
                <w:tcPr>
                  <w:tcW w:w="2777" w:type="dxa"/>
                  <w:shd w:val="clear" w:color="auto" w:fill="auto"/>
                </w:tcPr>
                <w:p>
                  <w:pPr>
                    <w:spacing w:before="0" w:beforeLines="0" w:after="120"/>
                    <w:rPr>
                      <w:color w:val="FF0000"/>
                      <w:szCs w:val="21"/>
                    </w:rPr>
                  </w:pPr>
                  <w:r>
                    <w:rPr>
                      <w:color w:val="FF0000"/>
                      <w:szCs w:val="21"/>
                    </w:rPr>
                    <w:t>43dBm – to be further discussed and finalized in future meetings</w:t>
                  </w:r>
                </w:p>
                <w:p>
                  <w:pPr>
                    <w:spacing w:before="0" w:beforeLines="0" w:after="120"/>
                    <w:rPr>
                      <w:color w:val="FF0000"/>
                      <w:szCs w:val="21"/>
                    </w:rPr>
                  </w:pPr>
                </w:p>
                <w:p>
                  <w:pPr>
                    <w:spacing w:before="0" w:beforeLines="0" w:after="120"/>
                    <w:rPr>
                      <w:color w:val="FF0000"/>
                      <w:szCs w:val="21"/>
                    </w:rPr>
                  </w:pPr>
                  <w:r>
                    <w:rPr>
                      <w:color w:val="FF0000"/>
                      <w:szCs w:val="21"/>
                    </w:rPr>
                    <w:t>EIRP limited to 78dBm – to be further discussed and finalized in future meetings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020" w:type="dxa"/>
                  <w:shd w:val="clear" w:color="auto" w:fill="auto"/>
                </w:tcPr>
                <w:p>
                  <w:pPr>
                    <w:spacing w:before="0" w:beforeLines="0" w:after="120"/>
                    <w:rPr>
                      <w:szCs w:val="21"/>
                    </w:rPr>
                  </w:pPr>
                  <w:r>
                    <w:rPr>
                      <w:szCs w:val="21"/>
                    </w:rPr>
                    <w:t>Total number of UL Rx RUs</w:t>
                  </w:r>
                </w:p>
              </w:tc>
              <w:tc>
                <w:tcPr>
                  <w:tcW w:w="1966" w:type="dxa"/>
                  <w:shd w:val="clear" w:color="auto" w:fill="auto"/>
                </w:tcPr>
                <w:p>
                  <w:pPr>
                    <w:spacing w:before="0" w:beforeLines="0" w:after="120"/>
                    <w:rPr>
                      <w:szCs w:val="21"/>
                    </w:rPr>
                  </w:pPr>
                  <w:r>
                    <w:rPr>
                      <w:szCs w:val="21"/>
                    </w:rPr>
                    <w:t>64</w:t>
                  </w:r>
                </w:p>
              </w:tc>
              <w:tc>
                <w:tcPr>
                  <w:tcW w:w="2474" w:type="dxa"/>
                  <w:shd w:val="clear" w:color="auto" w:fill="auto"/>
                </w:tcPr>
                <w:p>
                  <w:pPr>
                    <w:spacing w:before="0" w:beforeLines="0" w:after="120"/>
                    <w:rPr>
                      <w:color w:val="FFFFFF"/>
                      <w:szCs w:val="21"/>
                      <w:highlight w:val="darkYellow"/>
                    </w:rPr>
                  </w:pPr>
                  <w:r>
                    <w:rPr>
                      <w:color w:val="FFFFFF"/>
                      <w:szCs w:val="21"/>
                      <w:highlight w:val="darkYellow"/>
                    </w:rPr>
                    <w:t>(working assumption) 32</w:t>
                  </w:r>
                </w:p>
              </w:tc>
              <w:tc>
                <w:tcPr>
                  <w:tcW w:w="2777" w:type="dxa"/>
                  <w:shd w:val="clear" w:color="auto" w:fill="auto"/>
                </w:tcPr>
                <w:p>
                  <w:pPr>
                    <w:spacing w:before="0" w:beforeLines="0" w:after="120"/>
                    <w:rPr>
                      <w:szCs w:val="21"/>
                    </w:rPr>
                  </w:pPr>
                  <w:r>
                    <w:rPr>
                      <w:szCs w:val="21"/>
                    </w:rPr>
                    <w:t>2</w:t>
                  </w:r>
                </w:p>
              </w:tc>
            </w:tr>
          </w:tbl>
          <w:p>
            <w:pPr>
              <w:spacing w:before="120" w:after="120" w:line="260" w:lineRule="auto"/>
              <w:rPr>
                <w:rFonts w:eastAsia="Malgun Gothic"/>
                <w:b/>
                <w:szCs w:val="21"/>
              </w:rPr>
            </w:pPr>
          </w:p>
          <w:p>
            <w:pPr>
              <w:spacing w:before="120" w:after="120" w:line="260" w:lineRule="auto"/>
              <w:rPr>
                <w:b/>
                <w:szCs w:val="21"/>
                <w:highlight w:val="green"/>
              </w:rPr>
            </w:pPr>
            <w:r>
              <w:rPr>
                <w:rFonts w:eastAsia="Malgun Gothic"/>
                <w:b/>
                <w:szCs w:val="21"/>
                <w:highlight w:val="green"/>
              </w:rPr>
              <w:t>Agreement</w:t>
            </w:r>
          </w:p>
          <w:p>
            <w:pPr>
              <w:autoSpaceDE w:val="0"/>
              <w:autoSpaceDN w:val="0"/>
              <w:snapToGrid w:val="0"/>
              <w:spacing w:before="120" w:after="120" w:line="260" w:lineRule="auto"/>
              <w:rPr>
                <w:szCs w:val="21"/>
              </w:rPr>
            </w:pPr>
            <w:r>
              <w:rPr>
                <w:szCs w:val="21"/>
              </w:rPr>
              <w:t>As a starting point,</w:t>
            </w:r>
          </w:p>
          <w:p>
            <w:pPr>
              <w:numPr>
                <w:ilvl w:val="0"/>
                <w:numId w:val="10"/>
              </w:numPr>
              <w:autoSpaceDE w:val="0"/>
              <w:autoSpaceDN w:val="0"/>
              <w:snapToGrid w:val="0"/>
              <w:spacing w:before="120" w:after="120" w:line="260" w:lineRule="auto"/>
              <w:rPr>
                <w:szCs w:val="21"/>
              </w:rPr>
            </w:pPr>
            <w:r>
              <w:rPr>
                <w:szCs w:val="21"/>
              </w:rPr>
              <w:t>macro cell BS for FR1 is assumed for energy consumption model.</w:t>
            </w:r>
          </w:p>
          <w:p>
            <w:pPr>
              <w:numPr>
                <w:ilvl w:val="0"/>
                <w:numId w:val="10"/>
              </w:numPr>
              <w:autoSpaceDE w:val="0"/>
              <w:autoSpaceDN w:val="0"/>
              <w:snapToGrid w:val="0"/>
              <w:spacing w:before="120" w:after="120" w:line="260" w:lineRule="auto"/>
              <w:rPr>
                <w:szCs w:val="21"/>
              </w:rPr>
            </w:pPr>
            <w:r>
              <w:rPr>
                <w:szCs w:val="21"/>
              </w:rPr>
              <w:t>FFS: micro cell BS for FR2 is assumed for energy consumption model.</w:t>
            </w:r>
          </w:p>
          <w:p>
            <w:pPr>
              <w:autoSpaceDE w:val="0"/>
              <w:autoSpaceDN w:val="0"/>
              <w:spacing w:before="120" w:after="120" w:line="260" w:lineRule="auto"/>
              <w:rPr>
                <w:szCs w:val="21"/>
                <w:lang w:eastAsia="ko-KR"/>
              </w:rPr>
            </w:pPr>
          </w:p>
          <w:p>
            <w:pPr>
              <w:spacing w:before="120" w:after="120" w:line="260" w:lineRule="auto"/>
              <w:rPr>
                <w:b/>
                <w:szCs w:val="21"/>
                <w:highlight w:val="green"/>
              </w:rPr>
            </w:pPr>
            <w:r>
              <w:rPr>
                <w:rFonts w:eastAsia="Malgun Gothic"/>
                <w:b/>
                <w:szCs w:val="21"/>
                <w:highlight w:val="green"/>
              </w:rPr>
              <w:t>Agreement</w:t>
            </w:r>
          </w:p>
          <w:p>
            <w:pPr>
              <w:autoSpaceDE w:val="0"/>
              <w:autoSpaceDN w:val="0"/>
              <w:snapToGrid w:val="0"/>
              <w:spacing w:before="120" w:after="120" w:line="260" w:lineRule="auto"/>
              <w:rPr>
                <w:szCs w:val="21"/>
              </w:rPr>
            </w:pPr>
            <w:r>
              <w:rPr>
                <w:szCs w:val="21"/>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pPr>
              <w:numPr>
                <w:ilvl w:val="0"/>
                <w:numId w:val="10"/>
              </w:numPr>
              <w:autoSpaceDE w:val="0"/>
              <w:autoSpaceDN w:val="0"/>
              <w:snapToGrid w:val="0"/>
              <w:spacing w:before="120" w:after="120" w:line="260" w:lineRule="auto"/>
              <w:rPr>
                <w:szCs w:val="21"/>
              </w:rPr>
            </w:pPr>
            <w:r>
              <w:rPr>
                <w:szCs w:val="21"/>
              </w:rPr>
              <w:t>FFS: need of alignment for certain configurations/implementation-based schemes.</w:t>
            </w:r>
          </w:p>
          <w:p>
            <w:pPr>
              <w:autoSpaceDE w:val="0"/>
              <w:autoSpaceDN w:val="0"/>
              <w:snapToGrid w:val="0"/>
              <w:spacing w:before="120" w:after="120" w:line="260" w:lineRule="auto"/>
              <w:rPr>
                <w:szCs w:val="21"/>
              </w:rPr>
            </w:pPr>
          </w:p>
          <w:p>
            <w:pPr>
              <w:spacing w:before="120" w:after="120" w:line="260" w:lineRule="auto"/>
              <w:rPr>
                <w:b/>
                <w:szCs w:val="21"/>
                <w:highlight w:val="green"/>
              </w:rPr>
            </w:pPr>
            <w:r>
              <w:rPr>
                <w:rFonts w:eastAsia="Malgun Gothic"/>
                <w:b/>
                <w:szCs w:val="21"/>
                <w:highlight w:val="green"/>
              </w:rPr>
              <w:t>Agreement</w:t>
            </w:r>
          </w:p>
          <w:p>
            <w:pPr>
              <w:numPr>
                <w:ilvl w:val="0"/>
                <w:numId w:val="10"/>
              </w:numPr>
              <w:overflowPunct w:val="0"/>
              <w:autoSpaceDE w:val="0"/>
              <w:autoSpaceDN w:val="0"/>
              <w:snapToGrid w:val="0"/>
              <w:spacing w:before="120" w:after="120" w:line="260" w:lineRule="auto"/>
              <w:contextualSpacing/>
              <w:rPr>
                <w:szCs w:val="21"/>
              </w:rPr>
            </w:pPr>
            <w:r>
              <w:rPr>
                <w:szCs w:val="21"/>
              </w:rPr>
              <w:t>Similar to UE power saving study, percentage of energy consumption reduction from the baseline is used to express BS energy saving gain.</w:t>
            </w:r>
          </w:p>
          <w:p>
            <w:pPr>
              <w:numPr>
                <w:ilvl w:val="0"/>
                <w:numId w:val="10"/>
              </w:numPr>
              <w:overflowPunct w:val="0"/>
              <w:autoSpaceDE w:val="0"/>
              <w:autoSpaceDN w:val="0"/>
              <w:snapToGrid w:val="0"/>
              <w:spacing w:before="120" w:after="120" w:line="260" w:lineRule="auto"/>
              <w:contextualSpacing/>
              <w:rPr>
                <w:szCs w:val="21"/>
              </w:rPr>
            </w:pPr>
            <w:r>
              <w:rPr>
                <w:szCs w:val="21"/>
              </w:rPr>
              <w:t>SLS is considered as baseline evaluation method. Other method, including numerical analysis and LLS can also be considered. At least one of the methods should be selected and used for evaluation of a specific technique (selection and criteria is up to proponent).</w:t>
            </w:r>
          </w:p>
          <w:p>
            <w:pPr>
              <w:overflowPunct w:val="0"/>
              <w:autoSpaceDE w:val="0"/>
              <w:autoSpaceDN w:val="0"/>
              <w:snapToGrid w:val="0"/>
              <w:spacing w:before="120" w:after="120" w:line="260" w:lineRule="auto"/>
              <w:contextualSpacing/>
              <w:rPr>
                <w:szCs w:val="21"/>
              </w:rPr>
            </w:pPr>
          </w:p>
          <w:p>
            <w:pPr>
              <w:autoSpaceDE w:val="0"/>
              <w:autoSpaceDN w:val="0"/>
              <w:snapToGrid w:val="0"/>
              <w:spacing w:before="120" w:after="120" w:line="260" w:lineRule="auto"/>
              <w:rPr>
                <w:b/>
                <w:bCs/>
                <w:szCs w:val="21"/>
              </w:rPr>
            </w:pPr>
            <w:r>
              <w:rPr>
                <w:b/>
                <w:bCs/>
                <w:szCs w:val="21"/>
                <w:highlight w:val="darkYellow"/>
              </w:rPr>
              <w:t>Working assumption</w:t>
            </w:r>
          </w:p>
          <w:p>
            <w:pPr>
              <w:autoSpaceDE w:val="0"/>
              <w:autoSpaceDN w:val="0"/>
              <w:snapToGrid w:val="0"/>
              <w:spacing w:before="120" w:after="120" w:line="260" w:lineRule="auto"/>
              <w:rPr>
                <w:szCs w:val="21"/>
              </w:rPr>
            </w:pPr>
            <w:r>
              <w:rPr>
                <w:szCs w:val="21"/>
              </w:rPr>
              <w:t>For evaluation, for energy consumption modelling for FDD and the case of simultaneous DL transmission and UL reception for non-sleep mode, study the following with potential down-selection in RAN1#110</w:t>
            </w:r>
          </w:p>
          <w:p>
            <w:pPr>
              <w:numPr>
                <w:ilvl w:val="0"/>
                <w:numId w:val="10"/>
              </w:numPr>
              <w:autoSpaceDE w:val="0"/>
              <w:autoSpaceDN w:val="0"/>
              <w:snapToGrid w:val="0"/>
              <w:spacing w:before="120" w:after="120" w:line="260" w:lineRule="auto"/>
              <w:rPr>
                <w:szCs w:val="21"/>
              </w:rPr>
            </w:pPr>
            <w:r>
              <w:rPr>
                <w:szCs w:val="21"/>
              </w:rPr>
              <w:t>Option 1: the power consumption is the total of DL and UL power consumption</w:t>
            </w:r>
          </w:p>
          <w:p>
            <w:pPr>
              <w:numPr>
                <w:ilvl w:val="0"/>
                <w:numId w:val="10"/>
              </w:numPr>
              <w:autoSpaceDE w:val="0"/>
              <w:autoSpaceDN w:val="0"/>
              <w:snapToGrid w:val="0"/>
              <w:spacing w:before="120" w:after="120" w:line="260" w:lineRule="auto"/>
              <w:rPr>
                <w:szCs w:val="21"/>
              </w:rPr>
            </w:pPr>
            <w:r>
              <w:rPr>
                <w:szCs w:val="21"/>
              </w:rPr>
              <w:t>Option 2: the power consumption for UL is neglected</w:t>
            </w:r>
          </w:p>
          <w:p>
            <w:pPr>
              <w:numPr>
                <w:ilvl w:val="0"/>
                <w:numId w:val="10"/>
              </w:numPr>
              <w:autoSpaceDE w:val="0"/>
              <w:autoSpaceDN w:val="0"/>
              <w:snapToGrid w:val="0"/>
              <w:spacing w:before="120" w:after="120" w:line="260" w:lineRule="auto"/>
              <w:rPr>
                <w:szCs w:val="21"/>
              </w:rPr>
            </w:pPr>
            <w:r>
              <w:rPr>
                <w:szCs w:val="21"/>
              </w:rPr>
              <w:t>Other option is not precluded</w:t>
            </w:r>
          </w:p>
          <w:p>
            <w:pPr>
              <w:numPr>
                <w:ilvl w:val="0"/>
                <w:numId w:val="10"/>
              </w:numPr>
              <w:autoSpaceDE w:val="0"/>
              <w:autoSpaceDN w:val="0"/>
              <w:snapToGrid w:val="0"/>
              <w:spacing w:before="120" w:after="120" w:line="260" w:lineRule="auto"/>
              <w:rPr>
                <w:szCs w:val="21"/>
              </w:rPr>
            </w:pPr>
            <w:r>
              <w:rPr>
                <w:szCs w:val="21"/>
              </w:rPr>
              <w:t>Note the DL (or UL) power consumption can be obtained using a same approach as that obtained from the DL (or UL)-only in TDD model</w:t>
            </w:r>
          </w:p>
          <w:p>
            <w:pPr>
              <w:spacing w:before="120" w:after="120" w:line="260" w:lineRule="auto"/>
              <w:rPr>
                <w:szCs w:val="21"/>
              </w:rPr>
            </w:pPr>
          </w:p>
        </w:tc>
      </w:tr>
    </w:tbl>
    <w:p>
      <w:pPr>
        <w:spacing w:before="120" w:after="120"/>
        <w:rPr>
          <w:szCs w:val="21"/>
        </w:rPr>
      </w:pPr>
      <w:r>
        <w:rPr>
          <w:rFonts w:hint="eastAsia"/>
          <w:szCs w:val="21"/>
        </w:rPr>
        <w:t xml:space="preserve">According to the agreements, some of the design principles and basic configurations are made. While, there are still many details to be discussed. In this contributions, further analysis on the network energy consumption model and evaluation methodology are provided, and some basic simulation results are given. </w:t>
      </w:r>
    </w:p>
    <w:p>
      <w:pPr>
        <w:spacing w:before="120" w:after="120"/>
      </w:pPr>
    </w:p>
    <w:p>
      <w:pPr>
        <w:pStyle w:val="2"/>
        <w:spacing w:before="120" w:after="120"/>
        <w:ind w:left="0"/>
        <w:rPr>
          <w:szCs w:val="22"/>
        </w:rPr>
      </w:pPr>
      <w:r>
        <w:rPr>
          <w:rFonts w:ascii="Times New Roman" w:hAnsi="Times New Roman" w:eastAsia="宋体"/>
          <w:b/>
          <w:sz w:val="28"/>
          <w:szCs w:val="28"/>
        </w:rPr>
        <w:t>Energy consumption model</w:t>
      </w:r>
      <w:r>
        <w:t xml:space="preserve"> </w:t>
      </w:r>
    </w:p>
    <w:p>
      <w:pPr>
        <w:spacing w:before="120" w:after="120" w:line="260" w:lineRule="auto"/>
        <w:rPr>
          <w:szCs w:val="21"/>
        </w:rPr>
      </w:pPr>
      <w:r>
        <w:rPr>
          <w:szCs w:val="21"/>
        </w:rPr>
        <w:t>The network power consumption model is beneficial for the provision of in-depth understanding of different network energy saving techniques.</w:t>
      </w:r>
      <w:r>
        <w:rPr>
          <w:rFonts w:hint="eastAsia"/>
          <w:szCs w:val="21"/>
        </w:rPr>
        <w:t xml:space="preserve"> As agreed in [1], at least reference configuration, multiple power states and scaling method should be considered for network energy consumption model. In this section, other details, such as, basic </w:t>
      </w:r>
      <w:r>
        <w:rPr>
          <w:szCs w:val="21"/>
        </w:rPr>
        <w:t>principles</w:t>
      </w:r>
      <w:r>
        <w:rPr>
          <w:rFonts w:hint="eastAsia"/>
          <w:szCs w:val="21"/>
        </w:rPr>
        <w:t xml:space="preserve"> </w:t>
      </w:r>
      <w:r>
        <w:rPr>
          <w:szCs w:val="21"/>
        </w:rPr>
        <w:t xml:space="preserve">of </w:t>
      </w:r>
      <w:r>
        <w:rPr>
          <w:rFonts w:hint="eastAsia"/>
          <w:szCs w:val="21"/>
        </w:rPr>
        <w:t xml:space="preserve">the energy consumption modelling, the definition of the power states and </w:t>
      </w:r>
      <w:r>
        <w:rPr>
          <w:szCs w:val="21"/>
        </w:rPr>
        <w:t xml:space="preserve">corresponding </w:t>
      </w:r>
      <w:r>
        <w:rPr>
          <w:rFonts w:hint="eastAsia"/>
          <w:szCs w:val="21"/>
        </w:rPr>
        <w:t>relative power, scaling factors for different configurations, etc., are discussed.</w:t>
      </w:r>
    </w:p>
    <w:p>
      <w:pPr>
        <w:spacing w:before="120" w:after="120" w:line="260" w:lineRule="auto"/>
        <w:rPr>
          <w:lang w:val="en-GB"/>
        </w:rPr>
      </w:pPr>
      <w:r>
        <w:rPr>
          <w:szCs w:val="21"/>
        </w:rPr>
        <w:t xml:space="preserve"> </w:t>
      </w:r>
    </w:p>
    <w:p>
      <w:pPr>
        <w:pStyle w:val="3"/>
        <w:spacing w:before="120" w:after="120"/>
        <w:ind w:left="746" w:right="210" w:hanging="746" w:hangingChars="354"/>
        <w:rPr>
          <w:sz w:val="21"/>
          <w:szCs w:val="21"/>
        </w:rPr>
      </w:pPr>
      <w:r>
        <w:rPr>
          <w:rFonts w:ascii="Times New Roman" w:hAnsi="Times New Roman" w:eastAsia="宋体"/>
          <w:b/>
          <w:bCs/>
          <w:sz w:val="21"/>
          <w:szCs w:val="21"/>
        </w:rPr>
        <w:t>Principles</w:t>
      </w:r>
      <w:r>
        <w:rPr>
          <w:rFonts w:hint="eastAsia" w:ascii="Times New Roman" w:hAnsi="Times New Roman" w:eastAsia="宋体"/>
          <w:b/>
          <w:bCs/>
          <w:sz w:val="21"/>
          <w:szCs w:val="21"/>
        </w:rPr>
        <w:t xml:space="preserve"> </w:t>
      </w:r>
      <w:r>
        <w:rPr>
          <w:rFonts w:ascii="Times New Roman" w:hAnsi="Times New Roman" w:eastAsia="宋体"/>
          <w:b/>
          <w:bCs/>
          <w:sz w:val="21"/>
          <w:szCs w:val="21"/>
        </w:rPr>
        <w:t>of</w:t>
      </w:r>
      <w:r>
        <w:rPr>
          <w:rFonts w:hint="eastAsia" w:ascii="Times New Roman" w:hAnsi="Times New Roman" w:eastAsia="宋体"/>
          <w:b/>
          <w:bCs/>
          <w:sz w:val="21"/>
          <w:szCs w:val="21"/>
        </w:rPr>
        <w:t xml:space="preserve"> the energy consumption model</w:t>
      </w:r>
    </w:p>
    <w:p>
      <w:pPr>
        <w:spacing w:before="120" w:after="120" w:line="256" w:lineRule="auto"/>
        <w:rPr>
          <w:szCs w:val="21"/>
        </w:rPr>
      </w:pPr>
      <w:r>
        <w:rPr>
          <w:rFonts w:hint="eastAsia"/>
          <w:szCs w:val="21"/>
        </w:rPr>
        <w:t xml:space="preserve">In RAN1 #109-e meeting, the reference configurations for FR1 and FR2 are agreed. </w:t>
      </w:r>
      <w:r>
        <w:rPr>
          <w:szCs w:val="21"/>
        </w:rPr>
        <w:t>To build the</w:t>
      </w:r>
      <w:r>
        <w:rPr>
          <w:rFonts w:hint="eastAsia"/>
          <w:szCs w:val="21"/>
        </w:rPr>
        <w:t xml:space="preserve"> network energy consumption </w:t>
      </w:r>
      <w:r>
        <w:rPr>
          <w:szCs w:val="21"/>
        </w:rPr>
        <w:t>model</w:t>
      </w:r>
      <w:r>
        <w:rPr>
          <w:rFonts w:hint="eastAsia"/>
          <w:szCs w:val="21"/>
        </w:rPr>
        <w:t xml:space="preserve">, the </w:t>
      </w:r>
      <w:r>
        <w:rPr>
          <w:szCs w:val="21"/>
        </w:rPr>
        <w:t>entries</w:t>
      </w:r>
      <w:r>
        <w:rPr>
          <w:rFonts w:hint="eastAsia"/>
          <w:szCs w:val="21"/>
        </w:rPr>
        <w:t xml:space="preserve"> provided in the </w:t>
      </w:r>
      <w:r>
        <w:rPr>
          <w:szCs w:val="21"/>
        </w:rPr>
        <w:t>agreements</w:t>
      </w:r>
      <w:r>
        <w:rPr>
          <w:rFonts w:hint="eastAsia"/>
          <w:szCs w:val="21"/>
        </w:rPr>
        <w:t xml:space="preserve"> are sufficient. What</w:t>
      </w:r>
      <w:r>
        <w:rPr>
          <w:szCs w:val="21"/>
        </w:rPr>
        <w:t>’</w:t>
      </w:r>
      <w:r>
        <w:rPr>
          <w:rFonts w:hint="eastAsia"/>
          <w:szCs w:val="21"/>
        </w:rPr>
        <w:t>s more, the working assumption</w:t>
      </w:r>
      <w:r>
        <w:rPr>
          <w:szCs w:val="21"/>
        </w:rPr>
        <w:t xml:space="preserve"> of the number of TxRUs </w:t>
      </w:r>
      <w:r>
        <w:rPr>
          <w:rFonts w:hint="eastAsia"/>
          <w:szCs w:val="21"/>
        </w:rPr>
        <w:t xml:space="preserve">and the power level for FDD in FR1 and TDD in FR2 can be confirmed. </w:t>
      </w:r>
    </w:p>
    <w:p>
      <w:pPr>
        <w:pStyle w:val="28"/>
        <w:spacing w:before="120" w:after="120"/>
        <w:jc w:val="both"/>
        <w:rPr>
          <w:i w:val="0"/>
          <w:iCs w:val="0"/>
          <w:sz w:val="21"/>
          <w:szCs w:val="21"/>
        </w:rPr>
      </w:pPr>
      <w:bookmarkStart w:id="0" w:name="_Toc15490"/>
      <w:bookmarkStart w:id="1" w:name="_Toc18273"/>
      <w:r>
        <w:rPr>
          <w:rFonts w:hint="eastAsia"/>
          <w:i w:val="0"/>
          <w:iCs w:val="0"/>
          <w:sz w:val="21"/>
          <w:szCs w:val="21"/>
          <w:lang w:val="en-US" w:eastAsia="zh-CN"/>
        </w:rPr>
        <w:t xml:space="preserve">The working assumption for reference configuration </w:t>
      </w:r>
      <w:r>
        <w:rPr>
          <w:i w:val="0"/>
          <w:sz w:val="21"/>
          <w:szCs w:val="21"/>
        </w:rPr>
        <w:t>of the number of TxRUs</w:t>
      </w:r>
      <w:r>
        <w:rPr>
          <w:rFonts w:hint="eastAsia"/>
          <w:i w:val="0"/>
          <w:iCs w:val="0"/>
          <w:sz w:val="21"/>
          <w:szCs w:val="21"/>
          <w:lang w:val="en-US" w:eastAsia="zh-CN"/>
        </w:rPr>
        <w:t xml:space="preserve"> and the power level for FDD in FR1 and TDD in FR2 can be confirmed.</w:t>
      </w:r>
      <w:bookmarkEnd w:id="0"/>
      <w:bookmarkEnd w:id="1"/>
    </w:p>
    <w:p>
      <w:pPr>
        <w:spacing w:before="120" w:after="120" w:line="256" w:lineRule="auto"/>
      </w:pPr>
      <w:r>
        <w:rPr>
          <w:rFonts w:hint="eastAsia"/>
        </w:rPr>
        <w:t xml:space="preserve">As </w:t>
      </w:r>
      <w:r>
        <w:t xml:space="preserve">it was </w:t>
      </w:r>
      <w:r>
        <w:rPr>
          <w:rFonts w:hint="eastAsia"/>
        </w:rPr>
        <w:t>agreed</w:t>
      </w:r>
      <w:r>
        <w:t xml:space="preserve"> in RAN1 </w:t>
      </w:r>
      <w:r>
        <w:rPr>
          <w:rFonts w:hint="eastAsia"/>
        </w:rPr>
        <w:t xml:space="preserve">#109-e meeting, the BS energy consumption model should at least include the power consumption of BS on slot-level. </w:t>
      </w:r>
      <w:r>
        <w:rPr>
          <w:lang w:val="en-GB"/>
        </w:rPr>
        <w:t xml:space="preserve">If a symbol-level power consumption </w:t>
      </w:r>
      <w:r>
        <w:rPr>
          <w:rFonts w:hint="eastAsia"/>
        </w:rPr>
        <w:t xml:space="preserve">model </w:t>
      </w:r>
      <w:r>
        <w:rPr>
          <w:lang w:val="en-GB"/>
        </w:rPr>
        <w:t xml:space="preserve">is considered, </w:t>
      </w:r>
      <w:r>
        <w:rPr>
          <w:rFonts w:hint="eastAsia"/>
        </w:rPr>
        <w:t xml:space="preserve">much </w:t>
      </w:r>
      <w:r>
        <w:rPr>
          <w:lang w:val="en-GB"/>
        </w:rPr>
        <w:t>more efforts will be required by both power consumption model and SLS evaluation</w:t>
      </w:r>
      <w:r>
        <w:rPr>
          <w:rFonts w:hint="eastAsia"/>
        </w:rPr>
        <w:t xml:space="preserve">. </w:t>
      </w:r>
      <w:r>
        <w:t xml:space="preserve">Considering </w:t>
      </w:r>
      <w:r>
        <w:rPr>
          <w:rFonts w:hint="eastAsia"/>
        </w:rPr>
        <w:t>the</w:t>
      </w:r>
      <w:r>
        <w:t xml:space="preserve"> fact that some implementation at NW side, such as encoding/decoding, resource mapping for data/reference signal transmission, etc, involves more than one symbol, i</w:t>
      </w:r>
      <w:r>
        <w:rPr>
          <w:rFonts w:hint="eastAsia"/>
        </w:rPr>
        <w:t xml:space="preserve">t </w:t>
      </w:r>
      <w:r>
        <w:t>will be</w:t>
      </w:r>
      <w:r>
        <w:rPr>
          <w:rFonts w:hint="eastAsia"/>
        </w:rPr>
        <w:t xml:space="preserve"> cumbersome to assess </w:t>
      </w:r>
      <w:r>
        <w:t>NW power consumption in</w:t>
      </w:r>
      <w:r>
        <w:rPr>
          <w:rFonts w:hint="eastAsia"/>
        </w:rPr>
        <w:t xml:space="preserve"> symbol level. </w:t>
      </w:r>
      <w:r>
        <w:t xml:space="preserve">Even at the expense of more efforts on the symbol level power consumption model, we can expect that it won’t lead to significant different evaluation results or observations compared with </w:t>
      </w:r>
      <w:r>
        <w:rPr>
          <w:rFonts w:hint="eastAsia"/>
        </w:rPr>
        <w:t>slot</w:t>
      </w:r>
      <w:r>
        <w:t>-level power consumption model</w:t>
      </w:r>
      <w:r>
        <w:rPr>
          <w:lang w:val="en-GB"/>
        </w:rPr>
        <w:t>.</w:t>
      </w:r>
      <w:r>
        <w:rPr>
          <w:rFonts w:hint="eastAsia"/>
        </w:rPr>
        <w:t xml:space="preserve"> </w:t>
      </w:r>
      <w:r>
        <w:t>Meanwhile</w:t>
      </w:r>
      <w:r>
        <w:rPr>
          <w:rFonts w:hint="eastAsia"/>
        </w:rPr>
        <w:t xml:space="preserve">, for </w:t>
      </w:r>
      <w:r>
        <w:t>the power states</w:t>
      </w:r>
      <w:r>
        <w:rPr>
          <w:rFonts w:hint="eastAsia"/>
        </w:rPr>
        <w:t xml:space="preserve"> </w:t>
      </w:r>
      <w:r>
        <w:t>which need to be distinguished in</w:t>
      </w:r>
      <w:r>
        <w:rPr>
          <w:rFonts w:hint="eastAsia"/>
        </w:rPr>
        <w:t xml:space="preserve"> symbol</w:t>
      </w:r>
      <w:r>
        <w:t>-level operation</w:t>
      </w:r>
      <w:r>
        <w:rPr>
          <w:rFonts w:hint="eastAsia"/>
        </w:rPr>
        <w:t>s</w:t>
      </w:r>
      <w:r>
        <w:t>, for example, SSB/CSI-RS transmission</w:t>
      </w:r>
      <w:r>
        <w:rPr>
          <w:rFonts w:hint="eastAsia"/>
        </w:rPr>
        <w:t>, the power consumption</w:t>
      </w:r>
      <w:r>
        <w:t xml:space="preserve"> value</w:t>
      </w:r>
      <w:r>
        <w:rPr>
          <w:rFonts w:hint="eastAsia"/>
        </w:rPr>
        <w:t xml:space="preserve"> can be </w:t>
      </w:r>
      <w:r>
        <w:t>derived</w:t>
      </w:r>
      <w:r>
        <w:rPr>
          <w:rFonts w:hint="eastAsia"/>
        </w:rPr>
        <w:t xml:space="preserve"> by scaling </w:t>
      </w:r>
      <w:r>
        <w:t xml:space="preserve">the </w:t>
      </w:r>
      <w:r>
        <w:rPr>
          <w:rFonts w:hint="eastAsia"/>
        </w:rPr>
        <w:t>slot</w:t>
      </w:r>
      <w:r>
        <w:t>-</w:t>
      </w:r>
      <w:r>
        <w:rPr>
          <w:rFonts w:hint="eastAsia"/>
        </w:rPr>
        <w:t xml:space="preserve">level power </w:t>
      </w:r>
      <w:r>
        <w:t>based on</w:t>
      </w:r>
      <w:r>
        <w:rPr>
          <w:rFonts w:hint="eastAsia"/>
        </w:rPr>
        <w:t xml:space="preserve"> time and frequency occupancy. Therefore, </w:t>
      </w:r>
      <w:r>
        <w:t xml:space="preserve">it is </w:t>
      </w:r>
      <w:r>
        <w:rPr>
          <w:rFonts w:hint="eastAsia"/>
        </w:rPr>
        <w:t xml:space="preserve">more </w:t>
      </w:r>
      <w:r>
        <w:t xml:space="preserve">appropriate to define </w:t>
      </w:r>
      <w:r>
        <w:rPr>
          <w:rFonts w:hint="eastAsia"/>
        </w:rPr>
        <w:t xml:space="preserve">the power consumption </w:t>
      </w:r>
      <w:r>
        <w:t>model</w:t>
      </w:r>
      <w:r>
        <w:rPr>
          <w:rFonts w:hint="eastAsia"/>
        </w:rPr>
        <w:t xml:space="preserve"> for different states per</w:t>
      </w:r>
      <w:r>
        <w:t xml:space="preserve"> </w:t>
      </w:r>
      <w:r>
        <w:rPr>
          <w:rFonts w:hint="eastAsia"/>
        </w:rPr>
        <w:t>slot.</w:t>
      </w:r>
    </w:p>
    <w:p>
      <w:pPr>
        <w:pStyle w:val="28"/>
        <w:spacing w:before="120" w:after="120"/>
        <w:jc w:val="both"/>
        <w:rPr>
          <w:i w:val="0"/>
          <w:iCs w:val="0"/>
          <w:sz w:val="21"/>
          <w:szCs w:val="21"/>
        </w:rPr>
      </w:pPr>
      <w:bookmarkStart w:id="2" w:name="_Toc18232"/>
      <w:bookmarkStart w:id="3" w:name="_Toc23449"/>
      <w:r>
        <w:rPr>
          <w:i w:val="0"/>
          <w:sz w:val="21"/>
          <w:szCs w:val="21"/>
          <w:lang w:val="en-US"/>
        </w:rPr>
        <w:t xml:space="preserve">It is more </w:t>
      </w:r>
      <w:r>
        <w:rPr>
          <w:rFonts w:hint="eastAsia"/>
          <w:i w:val="0"/>
          <w:sz w:val="21"/>
          <w:szCs w:val="21"/>
          <w:lang w:val="en-US" w:eastAsia="zh-CN"/>
        </w:rPr>
        <w:t>appropriate</w:t>
      </w:r>
      <w:r>
        <w:rPr>
          <w:i w:val="0"/>
          <w:sz w:val="21"/>
          <w:szCs w:val="21"/>
          <w:lang w:val="en-US"/>
        </w:rPr>
        <w:t xml:space="preserve"> to define </w:t>
      </w:r>
      <w:r>
        <w:rPr>
          <w:i w:val="0"/>
          <w:sz w:val="21"/>
          <w:szCs w:val="21"/>
          <w:lang w:val="en-US" w:eastAsia="zh-CN"/>
        </w:rPr>
        <w:t>t</w:t>
      </w:r>
      <w:r>
        <w:rPr>
          <w:i w:val="0"/>
          <w:sz w:val="21"/>
          <w:szCs w:val="21"/>
        </w:rPr>
        <w:t>he power consumption model for different states per slot</w:t>
      </w:r>
      <w:r>
        <w:rPr>
          <w:i w:val="0"/>
          <w:sz w:val="21"/>
          <w:szCs w:val="21"/>
          <w:lang w:val="en-US" w:eastAsia="zh-CN"/>
        </w:rPr>
        <w:t>.</w:t>
      </w:r>
      <w:bookmarkEnd w:id="2"/>
      <w:r>
        <w:rPr>
          <w:i w:val="0"/>
          <w:sz w:val="21"/>
          <w:szCs w:val="21"/>
          <w:lang w:val="en-US" w:eastAsia="zh-CN"/>
        </w:rPr>
        <w:t xml:space="preserve"> </w:t>
      </w:r>
    </w:p>
    <w:p>
      <w:pPr>
        <w:pStyle w:val="28"/>
        <w:spacing w:before="120" w:after="120"/>
        <w:jc w:val="both"/>
      </w:pPr>
      <w:bookmarkStart w:id="4" w:name="_Toc5739"/>
      <w:r>
        <w:rPr>
          <w:i w:val="0"/>
          <w:sz w:val="21"/>
          <w:szCs w:val="21"/>
          <w:lang w:val="en-US" w:eastAsia="zh-CN"/>
        </w:rPr>
        <w:t>S</w:t>
      </w:r>
      <w:r>
        <w:rPr>
          <w:rFonts w:hint="eastAsia"/>
          <w:i w:val="0"/>
          <w:sz w:val="21"/>
          <w:szCs w:val="21"/>
          <w:lang w:val="en-US" w:eastAsia="zh-CN"/>
        </w:rPr>
        <w:t>caling slot</w:t>
      </w:r>
      <w:r>
        <w:rPr>
          <w:i w:val="0"/>
          <w:sz w:val="21"/>
          <w:szCs w:val="21"/>
          <w:lang w:val="en-US" w:eastAsia="zh-CN"/>
        </w:rPr>
        <w:t>-</w:t>
      </w:r>
      <w:r>
        <w:rPr>
          <w:rFonts w:hint="eastAsia"/>
          <w:i w:val="0"/>
          <w:sz w:val="21"/>
          <w:szCs w:val="21"/>
          <w:lang w:val="en-US" w:eastAsia="zh-CN"/>
        </w:rPr>
        <w:t xml:space="preserve">level power with symbol occupancy can be </w:t>
      </w:r>
      <w:r>
        <w:rPr>
          <w:i w:val="0"/>
          <w:sz w:val="21"/>
          <w:szCs w:val="21"/>
          <w:lang w:val="en-US" w:eastAsia="zh-CN"/>
        </w:rPr>
        <w:t>used to derive the power consumption values for SSB/CSI-RS transmission, etc</w:t>
      </w:r>
      <w:r>
        <w:rPr>
          <w:i w:val="0"/>
          <w:sz w:val="21"/>
          <w:szCs w:val="21"/>
        </w:rPr>
        <w:t>.</w:t>
      </w:r>
      <w:bookmarkEnd w:id="3"/>
      <w:bookmarkEnd w:id="4"/>
    </w:p>
    <w:p>
      <w:pPr>
        <w:spacing w:before="120" w:after="120" w:line="256" w:lineRule="auto"/>
        <w:rPr>
          <w:szCs w:val="21"/>
        </w:rPr>
      </w:pPr>
      <w:r>
        <w:t>T</w:t>
      </w:r>
      <w:r>
        <w:rPr>
          <w:rFonts w:hint="eastAsia"/>
        </w:rPr>
        <w:t>he DL power consumption is the main contributor to network energy consumption</w:t>
      </w:r>
      <w:r>
        <w:t xml:space="preserve"> due to the utilization of PA, DPD, etc. in the DL transmission</w:t>
      </w:r>
      <w:r>
        <w:rPr>
          <w:rFonts w:hint="eastAsia"/>
        </w:rPr>
        <w:t xml:space="preserve">. </w:t>
      </w:r>
      <w:r>
        <w:t>Meanwhile, for UL reception, LNA is used and the PA can be de-activated. Therefore, c</w:t>
      </w:r>
      <w:r>
        <w:rPr>
          <w:rFonts w:hint="eastAsia"/>
        </w:rPr>
        <w:t xml:space="preserve">ompared with DL transmission, the power consumption of UL reception is very low. </w:t>
      </w:r>
      <w:r>
        <w:t>Hence</w:t>
      </w:r>
      <w:r>
        <w:rPr>
          <w:rFonts w:hint="eastAsia"/>
        </w:rPr>
        <w:t>, the DL and UL should</w:t>
      </w:r>
      <w:r>
        <w:rPr>
          <w:rFonts w:hint="eastAsia"/>
          <w:szCs w:val="21"/>
        </w:rPr>
        <w:t xml:space="preserve"> be separately modeled for network energy consumption. </w:t>
      </w:r>
    </w:p>
    <w:p>
      <w:pPr>
        <w:spacing w:before="120" w:after="120" w:line="256" w:lineRule="auto"/>
        <w:rPr>
          <w:szCs w:val="21"/>
        </w:rPr>
      </w:pPr>
      <w:r>
        <w:rPr>
          <w:rFonts w:hint="eastAsia"/>
          <w:szCs w:val="21"/>
        </w:rPr>
        <w:t>For UL reception state, it is observed that the power consumption do</w:t>
      </w:r>
      <w:r>
        <w:rPr>
          <w:szCs w:val="21"/>
        </w:rPr>
        <w:t>es</w:t>
      </w:r>
      <w:r>
        <w:rPr>
          <w:rFonts w:hint="eastAsia"/>
          <w:szCs w:val="21"/>
        </w:rPr>
        <w:t>n</w:t>
      </w:r>
      <w:r>
        <w:rPr>
          <w:szCs w:val="21"/>
        </w:rPr>
        <w:t>’</w:t>
      </w:r>
      <w:r>
        <w:rPr>
          <w:rFonts w:hint="eastAsia"/>
          <w:szCs w:val="21"/>
        </w:rPr>
        <w:t xml:space="preserve">t differ greatly in different uplink services. Therefore, different from the DL transmission power consumption model, the UL reception only requires a simplified energy consumption model. </w:t>
      </w:r>
    </w:p>
    <w:p>
      <w:pPr>
        <w:pStyle w:val="27"/>
        <w:spacing w:before="120" w:after="120"/>
        <w:jc w:val="both"/>
        <w:rPr>
          <w:sz w:val="21"/>
          <w:szCs w:val="21"/>
        </w:rPr>
      </w:pPr>
      <w:bookmarkStart w:id="5" w:name="_Toc27424"/>
      <w:r>
        <w:rPr>
          <w:i w:val="0"/>
          <w:sz w:val="21"/>
          <w:szCs w:val="21"/>
          <w:lang w:val="en-US" w:eastAsia="zh-CN"/>
        </w:rPr>
        <w:t>The power consumption of UL reception doesn’t differ greatly in different uplink services</w:t>
      </w:r>
      <w:r>
        <w:rPr>
          <w:sz w:val="21"/>
          <w:szCs w:val="21"/>
        </w:rPr>
        <w:t>.</w:t>
      </w:r>
      <w:bookmarkEnd w:id="5"/>
    </w:p>
    <w:p>
      <w:pPr>
        <w:pStyle w:val="28"/>
        <w:spacing w:before="120" w:after="120"/>
        <w:jc w:val="both"/>
        <w:rPr>
          <w:i w:val="0"/>
          <w:iCs w:val="0"/>
          <w:sz w:val="21"/>
          <w:szCs w:val="21"/>
          <w:lang w:val="en-US" w:eastAsia="zh-CN"/>
        </w:rPr>
      </w:pPr>
      <w:bookmarkStart w:id="6" w:name="_Toc14335"/>
      <w:bookmarkStart w:id="7" w:name="_Toc11549"/>
      <w:r>
        <w:rPr>
          <w:rFonts w:hint="eastAsia"/>
          <w:i w:val="0"/>
          <w:iCs w:val="0"/>
          <w:sz w:val="21"/>
          <w:szCs w:val="21"/>
          <w:lang w:val="en-US" w:eastAsia="zh-CN"/>
        </w:rPr>
        <w:t>The DL and UL should be separately modeled for network energy consumption</w:t>
      </w:r>
      <w:r>
        <w:rPr>
          <w:i w:val="0"/>
          <w:iCs w:val="0"/>
          <w:sz w:val="21"/>
          <w:szCs w:val="21"/>
          <w:lang w:val="en-US" w:eastAsia="zh-CN"/>
        </w:rPr>
        <w:t>.</w:t>
      </w:r>
      <w:bookmarkEnd w:id="6"/>
    </w:p>
    <w:p>
      <w:pPr>
        <w:pStyle w:val="28"/>
        <w:spacing w:before="120" w:after="120"/>
        <w:jc w:val="both"/>
        <w:rPr>
          <w:i w:val="0"/>
          <w:iCs w:val="0"/>
          <w:sz w:val="21"/>
          <w:szCs w:val="21"/>
          <w:lang w:val="en-US" w:eastAsia="zh-CN"/>
        </w:rPr>
      </w:pPr>
      <w:bookmarkStart w:id="8" w:name="_Toc20006"/>
      <w:r>
        <w:rPr>
          <w:i w:val="0"/>
          <w:iCs w:val="0"/>
          <w:sz w:val="21"/>
          <w:szCs w:val="21"/>
          <w:lang w:val="en-US" w:eastAsia="zh-CN"/>
        </w:rPr>
        <w:t>T</w:t>
      </w:r>
      <w:r>
        <w:rPr>
          <w:rFonts w:hint="eastAsia"/>
          <w:i w:val="0"/>
          <w:iCs w:val="0"/>
          <w:sz w:val="21"/>
          <w:szCs w:val="21"/>
          <w:lang w:val="en-US" w:eastAsia="zh-CN"/>
        </w:rPr>
        <w:t>he UL reception only requires a simplified energy consumption model.</w:t>
      </w:r>
      <w:bookmarkEnd w:id="7"/>
      <w:bookmarkEnd w:id="8"/>
    </w:p>
    <w:p>
      <w:pPr>
        <w:spacing w:before="120" w:after="120" w:line="256" w:lineRule="auto"/>
      </w:pPr>
    </w:p>
    <w:p>
      <w:pPr>
        <w:pStyle w:val="3"/>
        <w:spacing w:before="120" w:after="120"/>
        <w:ind w:left="746" w:right="210" w:hanging="746" w:hangingChars="354"/>
        <w:rPr>
          <w:rFonts w:ascii="Times New Roman" w:hAnsi="Times New Roman"/>
          <w:b/>
          <w:bCs/>
          <w:sz w:val="21"/>
          <w:szCs w:val="21"/>
        </w:rPr>
      </w:pPr>
      <w:r>
        <w:rPr>
          <w:rFonts w:ascii="Times New Roman" w:hAnsi="Times New Roman"/>
          <w:b/>
          <w:bCs/>
          <w:sz w:val="21"/>
          <w:szCs w:val="21"/>
        </w:rPr>
        <w:t>Power state</w:t>
      </w:r>
      <w:r>
        <w:rPr>
          <w:rFonts w:hint="eastAsia" w:ascii="Times New Roman" w:hAnsi="Times New Roman" w:eastAsia="宋体"/>
          <w:b/>
          <w:bCs/>
          <w:sz w:val="21"/>
          <w:szCs w:val="21"/>
        </w:rPr>
        <w:t>s</w:t>
      </w:r>
      <w:r>
        <w:rPr>
          <w:rFonts w:ascii="Times New Roman" w:hAnsi="Times New Roman"/>
          <w:b/>
          <w:bCs/>
          <w:sz w:val="21"/>
          <w:szCs w:val="21"/>
        </w:rPr>
        <w:t xml:space="preserve"> and relative power</w:t>
      </w:r>
    </w:p>
    <w:p>
      <w:pPr>
        <w:spacing w:before="120" w:after="120" w:line="256" w:lineRule="auto"/>
      </w:pPr>
      <w:r>
        <w:rPr>
          <w:rFonts w:hint="eastAsia"/>
        </w:rPr>
        <w:t xml:space="preserve">Similar with </w:t>
      </w:r>
      <w:r>
        <w:t>TR38.840</w:t>
      </w:r>
      <w:r>
        <w:rPr>
          <w:rFonts w:hint="eastAsia"/>
        </w:rPr>
        <w:t xml:space="preserve"> [2], both sleep modes and active states with relative power, and associated transition time/energy should be considered for network energy consumption model. </w:t>
      </w:r>
    </w:p>
    <w:p>
      <w:pPr>
        <w:numPr>
          <w:ilvl w:val="0"/>
          <w:numId w:val="11"/>
        </w:numPr>
        <w:spacing w:before="120" w:after="120" w:line="256" w:lineRule="auto"/>
        <w:rPr>
          <w:b/>
          <w:bCs/>
        </w:rPr>
      </w:pPr>
      <w:r>
        <w:rPr>
          <w:rFonts w:hint="eastAsia"/>
          <w:b/>
          <w:bCs/>
        </w:rPr>
        <w:t>Active states</w:t>
      </w:r>
    </w:p>
    <w:p>
      <w:pPr>
        <w:spacing w:before="120" w:after="120" w:line="256" w:lineRule="auto"/>
      </w:pPr>
      <w:r>
        <w:t>In TR38.840, the DL states of UE power consumption model are classified by PDCCH/PDSCH reception, and reference signal detection since UE’s DL reception behaviors are simple and clear based on the configuration and scheduling grant. Moreover, considering blind decoding is involved in PDCCH monitoring at UE side, it seems reasonable to differentiate the power state of PDCCH detection from PDSCH reception.</w:t>
      </w:r>
    </w:p>
    <w:p>
      <w:pPr>
        <w:spacing w:before="120" w:after="120" w:line="256" w:lineRule="auto"/>
        <w:rPr>
          <w:szCs w:val="21"/>
        </w:rPr>
      </w:pPr>
      <w:r>
        <w:t xml:space="preserve">However, </w:t>
      </w:r>
      <w:r>
        <w:rPr>
          <w:rFonts w:hint="eastAsia"/>
        </w:rPr>
        <w:t xml:space="preserve">different from UEs, </w:t>
      </w:r>
      <w:r>
        <w:t>network has to simultaneously transmit multiple DL data and/or reference signals to one or more UEs in the cells based on a proper scheduling strategy. And from power consumption perspective, there is little difference among encoding for PDCCH/PDSCH and DL reference signal generation. Hence, using a specific tra</w:t>
      </w:r>
      <w:r>
        <w:rPr>
          <w:szCs w:val="21"/>
        </w:rPr>
        <w:t xml:space="preserve">nsmission state, such </w:t>
      </w:r>
      <w:r>
        <w:rPr>
          <w:rFonts w:hint="eastAsia"/>
          <w:szCs w:val="21"/>
        </w:rPr>
        <w:t xml:space="preserve">as </w:t>
      </w:r>
      <w:r>
        <w:rPr>
          <w:szCs w:val="21"/>
        </w:rPr>
        <w:t>PDCCH</w:t>
      </w:r>
      <w:r>
        <w:rPr>
          <w:rFonts w:hint="eastAsia"/>
          <w:szCs w:val="21"/>
        </w:rPr>
        <w:t xml:space="preserve"> </w:t>
      </w:r>
      <w:r>
        <w:rPr>
          <w:szCs w:val="21"/>
        </w:rPr>
        <w:t>or</w:t>
      </w:r>
      <w:r>
        <w:rPr>
          <w:rFonts w:hint="eastAsia"/>
          <w:szCs w:val="21"/>
        </w:rPr>
        <w:t xml:space="preserve"> </w:t>
      </w:r>
      <w:r>
        <w:rPr>
          <w:szCs w:val="21"/>
        </w:rPr>
        <w:t xml:space="preserve">PDSCH transmission, cannot accurately reflect network DL power state. </w:t>
      </w:r>
      <w:r>
        <w:rPr>
          <w:rFonts w:hint="eastAsia"/>
          <w:szCs w:val="21"/>
        </w:rPr>
        <w:t xml:space="preserve">What really affects the power consumption of DL transmission is the number of symbols and bandwidth occupied by the transmission in a slot. </w:t>
      </w:r>
    </w:p>
    <w:p>
      <w:pPr>
        <w:pStyle w:val="27"/>
        <w:spacing w:before="120" w:after="120"/>
        <w:jc w:val="both"/>
        <w:rPr>
          <w:i w:val="0"/>
          <w:sz w:val="21"/>
          <w:szCs w:val="21"/>
        </w:rPr>
      </w:pPr>
      <w:bookmarkStart w:id="9" w:name="_Toc19638"/>
      <w:r>
        <w:rPr>
          <w:rFonts w:hint="eastAsia"/>
          <w:i w:val="0"/>
          <w:sz w:val="21"/>
          <w:szCs w:val="21"/>
        </w:rPr>
        <w:t xml:space="preserve">The DL transmission power consumption </w:t>
      </w:r>
      <w:r>
        <w:rPr>
          <w:rFonts w:hint="eastAsia"/>
          <w:i w:val="0"/>
          <w:sz w:val="21"/>
          <w:szCs w:val="21"/>
          <w:lang w:val="en-US" w:eastAsia="zh-CN"/>
        </w:rPr>
        <w:t>per</w:t>
      </w:r>
      <w:r>
        <w:rPr>
          <w:i w:val="0"/>
          <w:sz w:val="21"/>
          <w:szCs w:val="21"/>
          <w:lang w:val="en-US" w:eastAsia="zh-CN"/>
        </w:rPr>
        <w:t xml:space="preserve"> </w:t>
      </w:r>
      <w:r>
        <w:rPr>
          <w:rFonts w:hint="eastAsia"/>
          <w:i w:val="0"/>
          <w:sz w:val="21"/>
          <w:szCs w:val="21"/>
          <w:lang w:val="en-US" w:eastAsia="zh-CN"/>
        </w:rPr>
        <w:t xml:space="preserve">slot </w:t>
      </w:r>
      <w:r>
        <w:rPr>
          <w:rFonts w:hint="eastAsia"/>
          <w:i w:val="0"/>
          <w:sz w:val="21"/>
          <w:szCs w:val="21"/>
        </w:rPr>
        <w:t>is affected by the number of symbols and bandwidth occupied by the transmission in a slot, not by the specific contents of the transmission.</w:t>
      </w:r>
      <w:bookmarkEnd w:id="9"/>
    </w:p>
    <w:p>
      <w:pPr>
        <w:spacing w:before="120" w:after="120" w:line="256" w:lineRule="auto"/>
        <w:rPr>
          <w:szCs w:val="21"/>
        </w:rPr>
      </w:pPr>
      <w:r>
        <w:rPr>
          <w:rFonts w:hint="eastAsia"/>
          <w:szCs w:val="21"/>
        </w:rPr>
        <w:t>Therefore, for DL transmission, only the power consumption of DL transmission with full bandwidth and full symbol usage of the reference configuration needs to be determined. The power consumption of DL transmission with other configuration can be obtained through the scaling rule.</w:t>
      </w:r>
    </w:p>
    <w:p>
      <w:pPr>
        <w:pStyle w:val="28"/>
        <w:spacing w:before="120" w:after="120"/>
        <w:jc w:val="both"/>
        <w:rPr>
          <w:i w:val="0"/>
          <w:iCs w:val="0"/>
          <w:sz w:val="21"/>
          <w:szCs w:val="21"/>
        </w:rPr>
      </w:pPr>
      <w:bookmarkStart w:id="10" w:name="_Toc25019"/>
      <w:bookmarkStart w:id="11" w:name="_Toc24572"/>
      <w:r>
        <w:rPr>
          <w:rFonts w:hint="eastAsia"/>
          <w:i w:val="0"/>
          <w:iCs w:val="0"/>
          <w:sz w:val="21"/>
          <w:szCs w:val="21"/>
          <w:lang w:val="en-US" w:eastAsia="zh-CN"/>
        </w:rPr>
        <w:t xml:space="preserve">A DL </w:t>
      </w:r>
      <w:r>
        <w:rPr>
          <w:i w:val="0"/>
          <w:iCs w:val="0"/>
          <w:sz w:val="21"/>
          <w:szCs w:val="21"/>
          <w:lang w:val="en-US" w:eastAsia="zh-CN"/>
        </w:rPr>
        <w:t>state</w:t>
      </w:r>
      <w:r>
        <w:rPr>
          <w:rFonts w:hint="eastAsia"/>
          <w:i w:val="0"/>
          <w:iCs w:val="0"/>
          <w:sz w:val="21"/>
          <w:szCs w:val="21"/>
          <w:lang w:val="en-US" w:eastAsia="zh-CN"/>
        </w:rPr>
        <w:t xml:space="preserve"> with full bandwidth and full symbol usage of the reference configuration needs to be determined regardless the specific contents </w:t>
      </w:r>
      <w:r>
        <w:rPr>
          <w:i w:val="0"/>
          <w:iCs w:val="0"/>
          <w:sz w:val="21"/>
          <w:szCs w:val="21"/>
          <w:lang w:val="en-US" w:eastAsia="zh-CN"/>
        </w:rPr>
        <w:t>in</w:t>
      </w:r>
      <w:r>
        <w:rPr>
          <w:rFonts w:hint="eastAsia"/>
          <w:i w:val="0"/>
          <w:iCs w:val="0"/>
          <w:sz w:val="21"/>
          <w:szCs w:val="21"/>
          <w:lang w:val="en-US" w:eastAsia="zh-CN"/>
        </w:rPr>
        <w:t xml:space="preserve"> the transmission.</w:t>
      </w:r>
      <w:bookmarkEnd w:id="10"/>
      <w:bookmarkEnd w:id="11"/>
    </w:p>
    <w:p>
      <w:pPr>
        <w:spacing w:before="120" w:after="120"/>
      </w:pPr>
      <w:r>
        <w:t>F</w:t>
      </w:r>
      <w:r>
        <w:rPr>
          <w:rFonts w:hint="eastAsia"/>
        </w:rPr>
        <w:t>or UL reception states, there is no need to set multiple UL reception states</w:t>
      </w:r>
      <w:r>
        <w:t>, either</w:t>
      </w:r>
      <w:r>
        <w:rPr>
          <w:rFonts w:hint="eastAsia"/>
        </w:rPr>
        <w:t>. What</w:t>
      </w:r>
      <w:r>
        <w:t>’</w:t>
      </w:r>
      <w:r>
        <w:rPr>
          <w:rFonts w:hint="eastAsia"/>
        </w:rPr>
        <w:t xml:space="preserve">s more, considering that the power consumption of UL reception is very small, </w:t>
      </w:r>
      <w:r>
        <w:t>a simple alternative of the UL power state model is to use one power consumption value for all the potential UL reception.</w:t>
      </w:r>
      <w:r>
        <w:rPr>
          <w:rFonts w:hint="eastAsia"/>
        </w:rPr>
        <w:t xml:space="preserve"> </w:t>
      </w:r>
      <w:r>
        <w:t>Another alternative is the same with DL power state, i.e., defining a reference power consumption value along with multiple scaling factors. And the first alternative is preferred from our perspective.</w:t>
      </w:r>
    </w:p>
    <w:p>
      <w:pPr>
        <w:pStyle w:val="27"/>
        <w:spacing w:before="120" w:after="120"/>
        <w:rPr>
          <w:i w:val="0"/>
          <w:sz w:val="21"/>
          <w:szCs w:val="21"/>
        </w:rPr>
      </w:pPr>
      <w:bookmarkStart w:id="12" w:name="_Toc19477"/>
      <w:r>
        <w:rPr>
          <w:i w:val="0"/>
          <w:sz w:val="21"/>
          <w:szCs w:val="21"/>
        </w:rPr>
        <w:t>For UL reception, the following two options can be considered</w:t>
      </w:r>
      <w:bookmarkEnd w:id="12"/>
    </w:p>
    <w:p>
      <w:pPr>
        <w:pStyle w:val="28"/>
        <w:numPr>
          <w:ilvl w:val="0"/>
          <w:numId w:val="12"/>
        </w:numPr>
        <w:spacing w:before="120" w:after="120"/>
        <w:ind w:left="420" w:leftChars="200"/>
        <w:rPr>
          <w:i w:val="0"/>
          <w:iCs w:val="0"/>
          <w:sz w:val="21"/>
          <w:szCs w:val="21"/>
          <w:lang w:val="en-US" w:eastAsia="zh-CN"/>
        </w:rPr>
      </w:pPr>
      <w:bookmarkStart w:id="13" w:name="_Toc4302"/>
      <w:r>
        <w:rPr>
          <w:i w:val="0"/>
          <w:iCs w:val="0"/>
          <w:sz w:val="21"/>
          <w:szCs w:val="21"/>
          <w:lang w:val="en-US" w:eastAsia="zh-CN"/>
        </w:rPr>
        <w:t xml:space="preserve">Alt-1: one </w:t>
      </w:r>
      <w:r>
        <w:rPr>
          <w:rFonts w:hint="eastAsia"/>
          <w:i w:val="0"/>
          <w:iCs w:val="0"/>
          <w:sz w:val="21"/>
          <w:szCs w:val="21"/>
          <w:lang w:val="en-US" w:eastAsia="zh-CN"/>
        </w:rPr>
        <w:t xml:space="preserve">power </w:t>
      </w:r>
      <w:r>
        <w:rPr>
          <w:i w:val="0"/>
          <w:iCs w:val="0"/>
          <w:sz w:val="21"/>
          <w:szCs w:val="21"/>
          <w:lang w:val="en-US" w:eastAsia="zh-CN"/>
        </w:rPr>
        <w:t>consumption value for all UL reception;</w:t>
      </w:r>
      <w:bookmarkEnd w:id="13"/>
    </w:p>
    <w:p>
      <w:pPr>
        <w:pStyle w:val="28"/>
        <w:numPr>
          <w:ilvl w:val="0"/>
          <w:numId w:val="12"/>
        </w:numPr>
        <w:spacing w:before="120" w:after="120"/>
        <w:ind w:left="420" w:leftChars="200"/>
        <w:rPr>
          <w:i w:val="0"/>
          <w:iCs w:val="0"/>
          <w:sz w:val="21"/>
          <w:szCs w:val="21"/>
          <w:lang w:val="en-US" w:eastAsia="zh-CN"/>
        </w:rPr>
      </w:pPr>
      <w:bookmarkStart w:id="14" w:name="_Toc16977"/>
      <w:r>
        <w:rPr>
          <w:i w:val="0"/>
          <w:iCs w:val="0"/>
          <w:sz w:val="21"/>
          <w:szCs w:val="21"/>
          <w:lang w:val="en-US" w:eastAsia="zh-CN"/>
        </w:rPr>
        <w:t>Alt-2: one reference power consumption value with multiple scaling factors for adaptation in different domain.</w:t>
      </w:r>
      <w:bookmarkEnd w:id="14"/>
    </w:p>
    <w:p>
      <w:pPr>
        <w:spacing w:before="120" w:after="120"/>
      </w:pPr>
    </w:p>
    <w:p>
      <w:pPr>
        <w:pStyle w:val="28"/>
        <w:spacing w:before="120" w:after="120"/>
        <w:rPr>
          <w:i w:val="0"/>
          <w:sz w:val="21"/>
          <w:szCs w:val="21"/>
        </w:rPr>
      </w:pPr>
      <w:bookmarkStart w:id="15" w:name="_Toc6984"/>
      <w:bookmarkStart w:id="16" w:name="_Toc15619"/>
      <w:r>
        <w:rPr>
          <w:i w:val="0"/>
          <w:sz w:val="21"/>
          <w:szCs w:val="21"/>
        </w:rPr>
        <w:t>For UL reception, the following option is preferred.</w:t>
      </w:r>
      <w:bookmarkEnd w:id="15"/>
      <w:bookmarkEnd w:id="16"/>
    </w:p>
    <w:p>
      <w:pPr>
        <w:pStyle w:val="28"/>
        <w:numPr>
          <w:ilvl w:val="0"/>
          <w:numId w:val="12"/>
        </w:numPr>
        <w:spacing w:before="120" w:after="120"/>
        <w:ind w:left="420" w:leftChars="200"/>
        <w:rPr>
          <w:i w:val="0"/>
          <w:iCs w:val="0"/>
          <w:sz w:val="21"/>
          <w:szCs w:val="21"/>
          <w:lang w:val="en-US" w:eastAsia="zh-CN"/>
        </w:rPr>
      </w:pPr>
      <w:bookmarkStart w:id="17" w:name="_Toc31979"/>
      <w:bookmarkStart w:id="18" w:name="_Toc20248"/>
      <w:r>
        <w:rPr>
          <w:i w:val="0"/>
          <w:iCs w:val="0"/>
          <w:sz w:val="21"/>
          <w:szCs w:val="21"/>
          <w:lang w:val="en-US" w:eastAsia="zh-CN"/>
        </w:rPr>
        <w:t xml:space="preserve">Alt-1: one </w:t>
      </w:r>
      <w:r>
        <w:rPr>
          <w:rFonts w:hint="eastAsia"/>
          <w:i w:val="0"/>
          <w:iCs w:val="0"/>
          <w:sz w:val="21"/>
          <w:szCs w:val="21"/>
          <w:lang w:val="en-US" w:eastAsia="zh-CN"/>
        </w:rPr>
        <w:t xml:space="preserve">power </w:t>
      </w:r>
      <w:r>
        <w:rPr>
          <w:i w:val="0"/>
          <w:iCs w:val="0"/>
          <w:sz w:val="21"/>
          <w:szCs w:val="21"/>
          <w:lang w:val="en-US" w:eastAsia="zh-CN"/>
        </w:rPr>
        <w:t>consumption value for all UL reception</w:t>
      </w:r>
      <w:bookmarkEnd w:id="17"/>
      <w:bookmarkEnd w:id="18"/>
    </w:p>
    <w:p>
      <w:pPr>
        <w:spacing w:before="120" w:after="120" w:line="256" w:lineRule="auto"/>
      </w:pPr>
    </w:p>
    <w:p>
      <w:pPr>
        <w:numPr>
          <w:ilvl w:val="0"/>
          <w:numId w:val="11"/>
        </w:numPr>
        <w:spacing w:before="120" w:after="120" w:line="256" w:lineRule="auto"/>
        <w:rPr>
          <w:b/>
          <w:bCs/>
        </w:rPr>
      </w:pPr>
      <w:r>
        <w:rPr>
          <w:rFonts w:hint="eastAsia"/>
          <w:b/>
          <w:bCs/>
        </w:rPr>
        <w:t>Sleep modes</w:t>
      </w:r>
    </w:p>
    <w:p>
      <w:pPr>
        <w:tabs>
          <w:tab w:val="left" w:pos="0"/>
          <w:tab w:val="left" w:pos="420"/>
        </w:tabs>
        <w:spacing w:before="120" w:after="120" w:line="256" w:lineRule="auto"/>
      </w:pPr>
      <w:r>
        <w:rPr>
          <w:rFonts w:hint="eastAsia"/>
        </w:rPr>
        <w:t>When there is no data transmission, the network can enter into a sleep mode by shutting down some of the components</w:t>
      </w:r>
      <w:r>
        <w:t xml:space="preserve"> to </w:t>
      </w:r>
      <w:r>
        <w:rPr>
          <w:rFonts w:hint="eastAsia"/>
        </w:rPr>
        <w:t>reduce</w:t>
      </w:r>
      <w:r>
        <w:t xml:space="preserve"> power consumption</w:t>
      </w:r>
      <w:r>
        <w:rPr>
          <w:rFonts w:hint="eastAsia"/>
        </w:rPr>
        <w:t xml:space="preserve">. </w:t>
      </w:r>
      <w:r>
        <w:t xml:space="preserve">According to the current </w:t>
      </w:r>
      <w:r>
        <w:rPr>
          <w:rFonts w:hint="eastAsia"/>
        </w:rPr>
        <w:t>base station</w:t>
      </w:r>
      <w:r>
        <w:t xml:space="preserve"> implementation, </w:t>
      </w:r>
      <w:r>
        <w:rPr>
          <w:rFonts w:hint="eastAsia"/>
        </w:rPr>
        <w:t>three</w:t>
      </w:r>
      <w:r>
        <w:t xml:space="preserve"> distinguished</w:t>
      </w:r>
      <w:r>
        <w:rPr>
          <w:rFonts w:hint="eastAsia"/>
        </w:rPr>
        <w:t xml:space="preserve"> sleep states </w:t>
      </w:r>
      <w:r>
        <w:t>(i.e., micro sleep, light sleep and deep sleep) are applied</w:t>
      </w:r>
      <w:r>
        <w:rPr>
          <w:rFonts w:hint="eastAsia"/>
        </w:rPr>
        <w:t xml:space="preserve"> at least </w:t>
      </w:r>
      <w:r>
        <w:t>in</w:t>
      </w:r>
      <w:r>
        <w:rPr>
          <w:rFonts w:hint="eastAsia"/>
        </w:rPr>
        <w:t xml:space="preserve"> DL.</w:t>
      </w:r>
    </w:p>
    <w:p>
      <w:pPr>
        <w:tabs>
          <w:tab w:val="left" w:pos="0"/>
          <w:tab w:val="left" w:pos="420"/>
        </w:tabs>
        <w:spacing w:before="120" w:after="120" w:line="256" w:lineRule="auto"/>
      </w:pPr>
      <w:r>
        <w:t xml:space="preserve">In micro sleep, </w:t>
      </w:r>
      <w:r>
        <w:rPr>
          <w:rFonts w:hint="eastAsia"/>
        </w:rPr>
        <w:t>network can mut</w:t>
      </w:r>
      <w:r>
        <w:t>e</w:t>
      </w:r>
      <w:r>
        <w:rPr>
          <w:rFonts w:hint="eastAsia"/>
        </w:rPr>
        <w:t xml:space="preserve"> the PA module</w:t>
      </w:r>
      <w:r>
        <w:t>. And the required ramp-down and ramp-up time for micro sleep is</w:t>
      </w:r>
      <w:r>
        <w:rPr>
          <w:rFonts w:hint="eastAsia"/>
        </w:rPr>
        <w:t xml:space="preserve"> </w:t>
      </w:r>
      <w:r>
        <w:t>in a</w:t>
      </w:r>
      <w:r>
        <w:rPr>
          <w:rFonts w:hint="eastAsia"/>
        </w:rPr>
        <w:t xml:space="preserve"> microsecond level, which can be ignored</w:t>
      </w:r>
      <w:r>
        <w:t xml:space="preserve"> in the slot-level power consumption model</w:t>
      </w:r>
      <w:r>
        <w:rPr>
          <w:rFonts w:hint="eastAsia"/>
        </w:rPr>
        <w:t xml:space="preserve">. If there is no data transmission for a longer period, some digital processing units, such as DPD, FFT processing, MAC scheduler, etc. can be </w:t>
      </w:r>
      <w:r>
        <w:t>de-activated, so that network can enter into a light sleep state. As a results,</w:t>
      </w:r>
      <w:r>
        <w:rPr>
          <w:rFonts w:hint="eastAsia"/>
        </w:rPr>
        <w:t xml:space="preserve"> </w:t>
      </w:r>
      <w:r>
        <w:t>it will</w:t>
      </w:r>
      <w:r>
        <w:rPr>
          <w:rFonts w:hint="eastAsia"/>
        </w:rPr>
        <w:t xml:space="preserve"> take</w:t>
      </w:r>
      <w:r>
        <w:t xml:space="preserve"> network </w:t>
      </w:r>
      <w:r>
        <w:rPr>
          <w:rFonts w:hint="eastAsia"/>
        </w:rPr>
        <w:t xml:space="preserve">hundreds of milliseconds </w:t>
      </w:r>
      <w:r>
        <w:t>to switch to/from the light sleep state</w:t>
      </w:r>
      <w:r>
        <w:rPr>
          <w:rFonts w:hint="eastAsia"/>
        </w:rPr>
        <w:t>. Further</w:t>
      </w:r>
      <w:r>
        <w:t>more</w:t>
      </w:r>
      <w:r>
        <w:rPr>
          <w:rFonts w:hint="eastAsia"/>
        </w:rPr>
        <w:t>, the base station can shut down more components to enter a deep sleep state to save energy</w:t>
      </w:r>
      <w:r>
        <w:t>.</w:t>
      </w:r>
      <w:r>
        <w:rPr>
          <w:rFonts w:hint="eastAsia"/>
        </w:rPr>
        <w:t xml:space="preserve"> </w:t>
      </w:r>
      <w:r>
        <w:t>It also</w:t>
      </w:r>
      <w:r>
        <w:rPr>
          <w:rFonts w:hint="eastAsia"/>
        </w:rPr>
        <w:t xml:space="preserve"> takes longer time</w:t>
      </w:r>
      <w:r>
        <w:t xml:space="preserve">, i.e., </w:t>
      </w:r>
      <w:r>
        <w:rPr>
          <w:rFonts w:hint="eastAsia"/>
        </w:rPr>
        <w:t>at least in a level of seconds,</w:t>
      </w:r>
      <w:r>
        <w:t xml:space="preserve"> for network to </w:t>
      </w:r>
      <w:r>
        <w:rPr>
          <w:rFonts w:hint="eastAsia"/>
        </w:rPr>
        <w:t>transition between the</w:t>
      </w:r>
      <w:r>
        <w:t xml:space="preserve"> deep</w:t>
      </w:r>
      <w:r>
        <w:rPr>
          <w:rFonts w:hint="eastAsia"/>
        </w:rPr>
        <w:t xml:space="preserve"> sleep state and active state.</w:t>
      </w:r>
      <w:r>
        <w:t xml:space="preserve"> </w:t>
      </w:r>
      <w:r>
        <w:rPr>
          <w:rFonts w:hint="eastAsia"/>
        </w:rPr>
        <w:t>Therefore, three sleep mode</w:t>
      </w:r>
      <w:r>
        <w:t>s</w:t>
      </w:r>
      <w:r>
        <w:rPr>
          <w:rFonts w:hint="eastAsia"/>
        </w:rPr>
        <w:t xml:space="preserve"> can be defined </w:t>
      </w:r>
      <w:r>
        <w:t>for</w:t>
      </w:r>
      <w:r>
        <w:rPr>
          <w:rFonts w:hint="eastAsia"/>
        </w:rPr>
        <w:t xml:space="preserve"> base station</w:t>
      </w:r>
      <w:r>
        <w:t xml:space="preserve"> </w:t>
      </w:r>
      <w:r>
        <w:rPr>
          <w:rFonts w:hint="eastAsia"/>
        </w:rPr>
        <w:t>according to the transition time</w:t>
      </w:r>
      <w:r>
        <w:t>/energy</w:t>
      </w:r>
      <w:r>
        <w:rPr>
          <w:rFonts w:hint="eastAsia"/>
        </w:rPr>
        <w:t xml:space="preserve"> </w:t>
      </w:r>
      <w:r>
        <w:t>and associated power consumption values,</w:t>
      </w:r>
      <w:r>
        <w:rPr>
          <w:rFonts w:hint="eastAsia"/>
        </w:rPr>
        <w:t xml:space="preserve"> which include</w:t>
      </w:r>
      <w:r>
        <w:t xml:space="preserve"> </w:t>
      </w:r>
      <w:r>
        <w:rPr>
          <w:rFonts w:hint="eastAsia"/>
        </w:rPr>
        <w:t>a micro sleep state with 0 transition time, a light sleep state with hundreds of milliseconds transition time and a deep sleep state with several seconds transition time</w:t>
      </w:r>
      <w:r>
        <w:t>.</w:t>
      </w:r>
      <w:r>
        <w:rPr>
          <w:rFonts w:hint="eastAsia"/>
        </w:rPr>
        <w:t xml:space="preserve"> </w:t>
      </w:r>
    </w:p>
    <w:p>
      <w:pPr>
        <w:pStyle w:val="28"/>
        <w:spacing w:before="120" w:after="120"/>
        <w:jc w:val="both"/>
        <w:rPr>
          <w:i w:val="0"/>
          <w:iCs w:val="0"/>
        </w:rPr>
      </w:pPr>
      <w:bookmarkStart w:id="19" w:name="_Toc21547"/>
      <w:r>
        <w:rPr>
          <w:rFonts w:hint="eastAsia"/>
          <w:i w:val="0"/>
          <w:iCs w:val="0"/>
          <w:lang w:val="en-US" w:eastAsia="zh-CN"/>
        </w:rPr>
        <w:t xml:space="preserve">Three sleep modes </w:t>
      </w:r>
      <w:r>
        <w:rPr>
          <w:i w:val="0"/>
          <w:iCs w:val="0"/>
          <w:lang w:val="en-US" w:eastAsia="zh-CN"/>
        </w:rPr>
        <w:t>including</w:t>
      </w:r>
      <w:r>
        <w:rPr>
          <w:rFonts w:hint="eastAsia"/>
          <w:i w:val="0"/>
          <w:iCs w:val="0"/>
          <w:lang w:val="en-US" w:eastAsia="zh-CN"/>
        </w:rPr>
        <w:t xml:space="preserve"> 0 transition time</w:t>
      </w:r>
      <w:r>
        <w:rPr>
          <w:i w:val="0"/>
          <w:iCs w:val="0"/>
          <w:lang w:val="en-US" w:eastAsia="zh-CN"/>
        </w:rPr>
        <w:t xml:space="preserve"> for micro sleep</w:t>
      </w:r>
      <w:r>
        <w:rPr>
          <w:rFonts w:hint="eastAsia"/>
          <w:i w:val="0"/>
          <w:iCs w:val="0"/>
          <w:lang w:val="en-US" w:eastAsia="zh-CN"/>
        </w:rPr>
        <w:t>, hundreds of milliseconds transition time</w:t>
      </w:r>
      <w:r>
        <w:rPr>
          <w:i w:val="0"/>
          <w:iCs w:val="0"/>
          <w:lang w:val="en-US" w:eastAsia="zh-CN"/>
        </w:rPr>
        <w:t xml:space="preserve"> for light sleep</w:t>
      </w:r>
      <w:r>
        <w:rPr>
          <w:rFonts w:hint="eastAsia"/>
          <w:i w:val="0"/>
          <w:iCs w:val="0"/>
          <w:lang w:val="en-US" w:eastAsia="zh-CN"/>
        </w:rPr>
        <w:t xml:space="preserve"> and several seconds transition time</w:t>
      </w:r>
      <w:r>
        <w:rPr>
          <w:i w:val="0"/>
          <w:iCs w:val="0"/>
          <w:lang w:val="en-US" w:eastAsia="zh-CN"/>
        </w:rPr>
        <w:t xml:space="preserve"> for deep sleep</w:t>
      </w:r>
      <w:r>
        <w:rPr>
          <w:rFonts w:hint="eastAsia"/>
          <w:i w:val="0"/>
          <w:iCs w:val="0"/>
          <w:lang w:val="en-US" w:eastAsia="zh-CN"/>
        </w:rPr>
        <w:t xml:space="preserve"> can be </w:t>
      </w:r>
      <w:r>
        <w:rPr>
          <w:i w:val="0"/>
          <w:iCs w:val="0"/>
          <w:lang w:val="en-US" w:eastAsia="zh-CN"/>
        </w:rPr>
        <w:t>defined</w:t>
      </w:r>
      <w:r>
        <w:rPr>
          <w:rFonts w:hint="eastAsia"/>
          <w:i w:val="0"/>
          <w:iCs w:val="0"/>
          <w:lang w:val="en-US" w:eastAsia="zh-CN"/>
        </w:rPr>
        <w:t xml:space="preserve"> </w:t>
      </w:r>
      <w:r>
        <w:rPr>
          <w:i w:val="0"/>
          <w:iCs w:val="0"/>
          <w:lang w:val="en-US" w:eastAsia="zh-CN"/>
        </w:rPr>
        <w:t xml:space="preserve">at least </w:t>
      </w:r>
      <w:r>
        <w:rPr>
          <w:rFonts w:hint="eastAsia"/>
          <w:i w:val="0"/>
          <w:iCs w:val="0"/>
          <w:lang w:val="en-US" w:eastAsia="zh-CN"/>
        </w:rPr>
        <w:t>for network DL energy consumption model.</w:t>
      </w:r>
      <w:bookmarkEnd w:id="19"/>
    </w:p>
    <w:p>
      <w:pPr>
        <w:tabs>
          <w:tab w:val="left" w:pos="0"/>
          <w:tab w:val="left" w:pos="420"/>
        </w:tabs>
        <w:spacing w:before="120" w:after="120" w:line="256" w:lineRule="auto"/>
      </w:pPr>
      <w:r>
        <w:rPr>
          <w:rFonts w:hint="eastAsia"/>
        </w:rPr>
        <w:t xml:space="preserve">As </w:t>
      </w:r>
      <w:r>
        <w:t xml:space="preserve">it is </w:t>
      </w:r>
      <w:r>
        <w:rPr>
          <w:rFonts w:hint="eastAsia"/>
        </w:rPr>
        <w:t xml:space="preserve">discussed </w:t>
      </w:r>
      <w:r>
        <w:t>above</w:t>
      </w:r>
      <w:r>
        <w:rPr>
          <w:rFonts w:hint="eastAsia"/>
        </w:rPr>
        <w:t>, compared with DL transmission, the power consumption of UL reception is very low.</w:t>
      </w:r>
      <w:r>
        <w:t xml:space="preserve"> Since the PA can be </w:t>
      </w:r>
      <w:r>
        <w:rPr>
          <w:rFonts w:hint="eastAsia"/>
        </w:rPr>
        <w:t>muted when there is no DL transmission</w:t>
      </w:r>
      <w:r>
        <w:t xml:space="preserve">, the power consumption of </w:t>
      </w:r>
      <w:r>
        <w:rPr>
          <w:rFonts w:hint="eastAsia"/>
        </w:rPr>
        <w:t>the network</w:t>
      </w:r>
      <w:r>
        <w:t xml:space="preserve"> is quite similar with micro sleep state</w:t>
      </w:r>
      <w:r>
        <w:rPr>
          <w:rFonts w:hint="eastAsia"/>
        </w:rPr>
        <w:t xml:space="preserve"> even if there is UL reception. Therefore, the base station should be able to enter into a micro sleep state at least for the case that there is no downlink transmission.</w:t>
      </w:r>
    </w:p>
    <w:p>
      <w:pPr>
        <w:tabs>
          <w:tab w:val="left" w:pos="0"/>
          <w:tab w:val="left" w:pos="420"/>
        </w:tabs>
        <w:spacing w:before="120" w:after="120" w:line="256" w:lineRule="auto"/>
      </w:pPr>
      <w:r>
        <w:rPr>
          <w:rFonts w:hint="eastAsia"/>
        </w:rPr>
        <w:t>Therefore, it</w:t>
      </w:r>
      <w:r>
        <w:t xml:space="preserve"> can be further discuss whether to </w:t>
      </w:r>
      <w:r>
        <w:rPr>
          <w:rFonts w:hint="eastAsia"/>
        </w:rPr>
        <w:t xml:space="preserve">define the sleep modes separately for DL and UL. </w:t>
      </w:r>
    </w:p>
    <w:p>
      <w:pPr>
        <w:pStyle w:val="28"/>
        <w:spacing w:before="120" w:after="120"/>
        <w:rPr>
          <w:i w:val="0"/>
        </w:rPr>
      </w:pPr>
      <w:bookmarkStart w:id="20" w:name="_Toc21681"/>
      <w:r>
        <w:rPr>
          <w:rFonts w:hint="eastAsia"/>
          <w:i w:val="0"/>
          <w:lang w:eastAsia="zh-CN"/>
        </w:rPr>
        <w:t>F</w:t>
      </w:r>
      <w:r>
        <w:rPr>
          <w:i w:val="0"/>
        </w:rPr>
        <w:t>urther discuss whether to define the sleep modes separately for DL and UL.</w:t>
      </w:r>
      <w:bookmarkEnd w:id="20"/>
    </w:p>
    <w:p>
      <w:pPr>
        <w:spacing w:before="120" w:after="120" w:line="256" w:lineRule="auto"/>
      </w:pPr>
      <w:r>
        <w:rPr>
          <w:rFonts w:hint="eastAsia"/>
        </w:rPr>
        <w:t>A</w:t>
      </w:r>
      <w:r>
        <w:t xml:space="preserve">s shown in Figure </w:t>
      </w:r>
      <w:r>
        <w:rPr>
          <w:rFonts w:hint="eastAsia"/>
        </w:rPr>
        <w:t>1</w:t>
      </w:r>
      <w:r>
        <w:t xml:space="preserve">, there are two transition manners for network to switch from DL/UL active states to a sleep mode. </w:t>
      </w:r>
      <w:r>
        <w:rPr>
          <w:rFonts w:hint="eastAsia"/>
        </w:rPr>
        <w:t>For the step</w:t>
      </w:r>
      <w:r>
        <w:t>-</w:t>
      </w:r>
      <w:r>
        <w:rPr>
          <w:rFonts w:hint="eastAsia"/>
        </w:rPr>
        <w:t>by</w:t>
      </w:r>
      <w:r>
        <w:t>-</w:t>
      </w:r>
      <w:r>
        <w:rPr>
          <w:rFonts w:hint="eastAsia"/>
        </w:rPr>
        <w:t>step transition scheme</w:t>
      </w:r>
      <w:r>
        <w:t xml:space="preserve"> shown in Figure </w:t>
      </w:r>
      <w:r>
        <w:rPr>
          <w:rFonts w:hint="eastAsia"/>
        </w:rPr>
        <w:t xml:space="preserve">1(a), BS </w:t>
      </w:r>
      <w:r>
        <w:t xml:space="preserve">cannot directly enter into a light or deep sleep mode from DL/UL active state. When there is no data transmission, BS can first switch into a micro sleep. </w:t>
      </w:r>
      <w:r>
        <w:rPr>
          <w:rFonts w:hint="eastAsia"/>
        </w:rPr>
        <w:t>A</w:t>
      </w:r>
      <w:r>
        <w:t>fter a timer expiration, BS can then enter into a light sleep. With the help of another timer, BS can finally enter in the deep sleep.</w:t>
      </w:r>
    </w:p>
    <w:p>
      <w:pPr>
        <w:spacing w:before="120" w:after="120" w:line="256" w:lineRule="auto"/>
        <w:jc w:val="center"/>
      </w:pPr>
      <w:r>
        <w:drawing>
          <wp:inline distT="0" distB="0" distL="114300" distR="114300">
            <wp:extent cx="3394710" cy="1137285"/>
            <wp:effectExtent l="0" t="0" r="381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3394710" cy="1137285"/>
                    </a:xfrm>
                    <a:prstGeom prst="rect">
                      <a:avLst/>
                    </a:prstGeom>
                    <a:noFill/>
                    <a:ln>
                      <a:noFill/>
                    </a:ln>
                  </pic:spPr>
                </pic:pic>
              </a:graphicData>
            </a:graphic>
          </wp:inline>
        </w:drawing>
      </w:r>
    </w:p>
    <w:p>
      <w:pPr>
        <w:numPr>
          <w:ilvl w:val="0"/>
          <w:numId w:val="13"/>
        </w:numPr>
        <w:spacing w:before="120" w:after="120" w:line="256" w:lineRule="auto"/>
        <w:jc w:val="center"/>
      </w:pPr>
      <w:r>
        <w:t xml:space="preserve"> </w:t>
      </w:r>
      <w:r>
        <w:rPr>
          <w:rFonts w:hint="eastAsia"/>
        </w:rPr>
        <w:t>S</w:t>
      </w:r>
      <w:r>
        <w:t>tep-by-step transition scheme</w:t>
      </w:r>
    </w:p>
    <w:p>
      <w:pPr>
        <w:spacing w:before="120" w:after="120" w:line="256" w:lineRule="auto"/>
        <w:jc w:val="center"/>
      </w:pPr>
      <w:r>
        <w:drawing>
          <wp:inline distT="0" distB="0" distL="114300" distR="114300">
            <wp:extent cx="3413760" cy="1410335"/>
            <wp:effectExtent l="0" t="0" r="0" b="698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1"/>
                    <a:stretch>
                      <a:fillRect/>
                    </a:stretch>
                  </pic:blipFill>
                  <pic:spPr>
                    <a:xfrm>
                      <a:off x="0" y="0"/>
                      <a:ext cx="3413760" cy="1410335"/>
                    </a:xfrm>
                    <a:prstGeom prst="rect">
                      <a:avLst/>
                    </a:prstGeom>
                    <a:noFill/>
                    <a:ln>
                      <a:noFill/>
                    </a:ln>
                  </pic:spPr>
                </pic:pic>
              </a:graphicData>
            </a:graphic>
          </wp:inline>
        </w:drawing>
      </w:r>
    </w:p>
    <w:p>
      <w:pPr>
        <w:numPr>
          <w:ilvl w:val="0"/>
          <w:numId w:val="13"/>
        </w:numPr>
        <w:spacing w:before="120" w:after="120" w:line="256" w:lineRule="auto"/>
        <w:jc w:val="center"/>
      </w:pPr>
      <w:r>
        <w:rPr>
          <w:rFonts w:hint="eastAsia"/>
        </w:rPr>
        <w:t>Direct transition scheme</w:t>
      </w:r>
    </w:p>
    <w:p>
      <w:pPr>
        <w:spacing w:before="120" w:after="120" w:line="256" w:lineRule="auto"/>
        <w:jc w:val="center"/>
      </w:pPr>
      <w:r>
        <w:rPr>
          <w:rFonts w:hint="eastAsia"/>
        </w:rPr>
        <w:t>Figure 1 Network transition scheme between active state and sleep states</w:t>
      </w:r>
    </w:p>
    <w:p>
      <w:pPr>
        <w:spacing w:before="120" w:after="120" w:line="256" w:lineRule="auto"/>
      </w:pPr>
    </w:p>
    <w:p>
      <w:pPr>
        <w:spacing w:before="120" w:after="120" w:line="256" w:lineRule="auto"/>
      </w:pPr>
      <w:r>
        <w:rPr>
          <w:rFonts w:hint="eastAsia"/>
        </w:rPr>
        <w:t xml:space="preserve">Alternatively, </w:t>
      </w:r>
      <w:r>
        <w:t>according to the</w:t>
      </w:r>
      <w:r>
        <w:rPr>
          <w:rFonts w:hint="eastAsia"/>
        </w:rPr>
        <w:t xml:space="preserve"> direct state transition model</w:t>
      </w:r>
      <w:r>
        <w:t xml:space="preserve"> in Figure </w:t>
      </w:r>
      <w:r>
        <w:rPr>
          <w:rFonts w:hint="eastAsia"/>
        </w:rPr>
        <w:t xml:space="preserve">1(b), the BS </w:t>
      </w:r>
      <w:r>
        <w:t>can</w:t>
      </w:r>
      <w:r>
        <w:rPr>
          <w:rFonts w:hint="eastAsia"/>
        </w:rPr>
        <w:t xml:space="preserve"> directly transit</w:t>
      </w:r>
      <w:r>
        <w:t>ion</w:t>
      </w:r>
      <w:r>
        <w:rPr>
          <w:rFonts w:hint="eastAsia"/>
        </w:rPr>
        <w:t xml:space="preserve"> from active mode</w:t>
      </w:r>
      <w:r>
        <w:t xml:space="preserve"> to</w:t>
      </w:r>
      <w:r>
        <w:rPr>
          <w:rFonts w:hint="eastAsia"/>
        </w:rPr>
        <w:t xml:space="preserve"> any of the sleep modes. The purpose of step</w:t>
      </w:r>
      <w:r>
        <w:t>-</w:t>
      </w:r>
      <w:r>
        <w:rPr>
          <w:rFonts w:hint="eastAsia"/>
        </w:rPr>
        <w:t>by</w:t>
      </w:r>
      <w:r>
        <w:t>-</w:t>
      </w:r>
      <w:r>
        <w:rPr>
          <w:rFonts w:hint="eastAsia"/>
        </w:rPr>
        <w:t xml:space="preserve">step transition scheme is to simulate the shutdown </w:t>
      </w:r>
      <w:r>
        <w:t>procedure</w:t>
      </w:r>
      <w:r>
        <w:rPr>
          <w:rFonts w:hint="eastAsia"/>
        </w:rPr>
        <w:t xml:space="preserve"> of base station </w:t>
      </w:r>
      <w:r>
        <w:t>operation</w:t>
      </w:r>
      <w:r>
        <w:rPr>
          <w:rFonts w:hint="eastAsia"/>
        </w:rPr>
        <w:t>. However, for network power consumption modeling and evaluation, this complicated transition process</w:t>
      </w:r>
      <w:r>
        <w:t>ing</w:t>
      </w:r>
      <w:r>
        <w:rPr>
          <w:rFonts w:hint="eastAsia"/>
        </w:rPr>
        <w:t xml:space="preserve"> </w:t>
      </w:r>
      <w:r>
        <w:t xml:space="preserve">doesn’t </w:t>
      </w:r>
      <w:r>
        <w:rPr>
          <w:rFonts w:hint="eastAsia"/>
        </w:rPr>
        <w:t xml:space="preserve">result in significantly </w:t>
      </w:r>
      <w:r>
        <w:t>difference in evaluation results</w:t>
      </w:r>
      <w:r>
        <w:rPr>
          <w:rFonts w:hint="eastAsia"/>
        </w:rPr>
        <w:t xml:space="preserve">, but greatly increases the simulation complexity. </w:t>
      </w:r>
      <w:r>
        <w:t xml:space="preserve">Meanwhile, the side effects of the sleep modes on scheduling latency, UPT, etc, are similar for both transition schemes. </w:t>
      </w:r>
      <w:r>
        <w:rPr>
          <w:rFonts w:hint="eastAsia"/>
        </w:rPr>
        <w:t xml:space="preserve">Considering the different transition time and </w:t>
      </w:r>
      <w:r>
        <w:t>energy</w:t>
      </w:r>
      <w:r>
        <w:rPr>
          <w:rFonts w:hint="eastAsia"/>
        </w:rPr>
        <w:t xml:space="preserve"> for different sleep modes, the direct transition scheme </w:t>
      </w:r>
      <w:r>
        <w:t>is sufficient to</w:t>
      </w:r>
      <w:r>
        <w:rPr>
          <w:rFonts w:hint="eastAsia"/>
        </w:rPr>
        <w:t xml:space="preserve"> simulate the base station</w:t>
      </w:r>
      <w:r>
        <w:t xml:space="preserve"> operation</w:t>
      </w:r>
      <w:r>
        <w:rPr>
          <w:rFonts w:hint="eastAsia"/>
        </w:rPr>
        <w:t>s.</w:t>
      </w:r>
    </w:p>
    <w:p>
      <w:pPr>
        <w:spacing w:before="120" w:after="120" w:line="256" w:lineRule="auto"/>
      </w:pPr>
      <w:r>
        <w:rPr>
          <w:rFonts w:hint="eastAsia"/>
        </w:rPr>
        <w:t>F</w:t>
      </w:r>
      <w:r>
        <w:t xml:space="preserve">or the </w:t>
      </w:r>
      <w:r>
        <w:rPr>
          <w:rFonts w:hint="eastAsia"/>
        </w:rPr>
        <w:t>direct transition scheme, the transition between active state and sleep mode is provided in Figure 2, which includes</w:t>
      </w:r>
      <w:r>
        <w:t xml:space="preserve"> the </w:t>
      </w:r>
      <w:r>
        <w:rPr>
          <w:rFonts w:hint="eastAsia"/>
        </w:rPr>
        <w:t>relative power, transition time and transition energy (including the ramp up energy and the ramp down energy).</w:t>
      </w:r>
    </w:p>
    <w:p>
      <w:pPr>
        <w:spacing w:before="120" w:after="120" w:line="256" w:lineRule="auto"/>
        <w:jc w:val="center"/>
      </w:pPr>
      <w:r>
        <w:drawing>
          <wp:inline distT="0" distB="0" distL="114300" distR="114300">
            <wp:extent cx="3391535" cy="1489710"/>
            <wp:effectExtent l="0" t="0" r="6985" b="381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3391535" cy="1489710"/>
                    </a:xfrm>
                    <a:prstGeom prst="rect">
                      <a:avLst/>
                    </a:prstGeom>
                    <a:noFill/>
                    <a:ln>
                      <a:noFill/>
                    </a:ln>
                  </pic:spPr>
                </pic:pic>
              </a:graphicData>
            </a:graphic>
          </wp:inline>
        </w:drawing>
      </w:r>
    </w:p>
    <w:p>
      <w:pPr>
        <w:spacing w:before="120" w:after="120" w:line="256" w:lineRule="auto"/>
        <w:jc w:val="center"/>
      </w:pPr>
      <w:r>
        <w:rPr>
          <w:rFonts w:hint="eastAsia"/>
        </w:rPr>
        <w:t>F</w:t>
      </w:r>
      <w:r>
        <w:t>igure 2 Transition between active and sleep states</w:t>
      </w:r>
    </w:p>
    <w:p>
      <w:pPr>
        <w:tabs>
          <w:tab w:val="left" w:pos="0"/>
          <w:tab w:val="left" w:pos="420"/>
        </w:tabs>
        <w:spacing w:before="120" w:after="120" w:line="256" w:lineRule="auto"/>
      </w:pPr>
    </w:p>
    <w:p>
      <w:pPr>
        <w:pStyle w:val="28"/>
        <w:spacing w:before="120" w:after="120"/>
        <w:rPr>
          <w:i w:val="0"/>
          <w:iCs w:val="0"/>
        </w:rPr>
      </w:pPr>
      <w:bookmarkStart w:id="21" w:name="_Toc7873"/>
      <w:bookmarkStart w:id="22" w:name="_Toc24058"/>
      <w:r>
        <w:rPr>
          <w:rFonts w:hint="eastAsia"/>
          <w:i w:val="0"/>
          <w:iCs w:val="0"/>
          <w:lang w:val="en-US" w:eastAsia="zh-CN"/>
        </w:rPr>
        <w:t>A</w:t>
      </w:r>
      <w:r>
        <w:rPr>
          <w:rFonts w:hint="eastAsia"/>
          <w:i w:val="0"/>
          <w:iCs w:val="0"/>
        </w:rPr>
        <w:t xml:space="preserve"> </w:t>
      </w:r>
      <w:r>
        <w:rPr>
          <w:rFonts w:hint="eastAsia"/>
          <w:i w:val="0"/>
          <w:iCs w:val="0"/>
          <w:lang w:val="en-US" w:eastAsia="zh-CN"/>
        </w:rPr>
        <w:t xml:space="preserve">direct transition scheme between active state and </w:t>
      </w:r>
      <w:r>
        <w:rPr>
          <w:rFonts w:hint="eastAsia"/>
          <w:i w:val="0"/>
          <w:iCs w:val="0"/>
        </w:rPr>
        <w:t xml:space="preserve">sleep </w:t>
      </w:r>
      <w:r>
        <w:rPr>
          <w:rFonts w:hint="eastAsia"/>
          <w:i w:val="0"/>
          <w:iCs w:val="0"/>
          <w:lang w:val="en-US" w:eastAsia="zh-CN"/>
        </w:rPr>
        <w:t>modes</w:t>
      </w:r>
      <w:r>
        <w:rPr>
          <w:rFonts w:hint="eastAsia"/>
          <w:i w:val="0"/>
          <w:iCs w:val="0"/>
        </w:rPr>
        <w:t xml:space="preserve"> </w:t>
      </w:r>
      <w:r>
        <w:rPr>
          <w:rFonts w:hint="eastAsia"/>
          <w:i w:val="0"/>
          <w:iCs w:val="0"/>
          <w:lang w:val="en-US" w:eastAsia="zh-CN"/>
        </w:rPr>
        <w:t>should be adopted</w:t>
      </w:r>
      <w:r>
        <w:rPr>
          <w:rFonts w:hint="eastAsia"/>
          <w:i w:val="0"/>
          <w:iCs w:val="0"/>
        </w:rPr>
        <w:t>.</w:t>
      </w:r>
      <w:bookmarkEnd w:id="21"/>
      <w:bookmarkEnd w:id="22"/>
    </w:p>
    <w:p>
      <w:pPr>
        <w:tabs>
          <w:tab w:val="left" w:pos="0"/>
          <w:tab w:val="left" w:pos="420"/>
        </w:tabs>
        <w:spacing w:before="120" w:after="120" w:line="256" w:lineRule="auto"/>
      </w:pPr>
      <w:bookmarkStart w:id="23" w:name="_Toc9793"/>
      <w:bookmarkStart w:id="24" w:name="_Toc26450"/>
    </w:p>
    <w:p>
      <w:pPr>
        <w:numPr>
          <w:ilvl w:val="0"/>
          <w:numId w:val="11"/>
        </w:numPr>
        <w:spacing w:before="120" w:after="120" w:line="256" w:lineRule="auto"/>
        <w:rPr>
          <w:b/>
          <w:bCs/>
        </w:rPr>
      </w:pPr>
      <w:r>
        <w:rPr>
          <w:rFonts w:hint="eastAsia"/>
          <w:b/>
          <w:bCs/>
        </w:rPr>
        <w:t>Relative power</w:t>
      </w:r>
    </w:p>
    <w:p>
      <w:pPr>
        <w:tabs>
          <w:tab w:val="left" w:pos="0"/>
          <w:tab w:val="left" w:pos="420"/>
        </w:tabs>
        <w:spacing w:before="120" w:after="120" w:line="256" w:lineRule="auto"/>
        <w:rPr>
          <w:szCs w:val="21"/>
        </w:rPr>
      </w:pPr>
      <w:r>
        <w:rPr>
          <w:rFonts w:hint="eastAsia"/>
          <w:szCs w:val="21"/>
        </w:rPr>
        <w:t>As agreed in [1], the reference configuration</w:t>
      </w:r>
      <w:r>
        <w:rPr>
          <w:szCs w:val="21"/>
        </w:rPr>
        <w:t>s</w:t>
      </w:r>
      <w:r>
        <w:rPr>
          <w:rFonts w:hint="eastAsia"/>
          <w:szCs w:val="21"/>
        </w:rPr>
        <w:t xml:space="preserve"> for FDD and TDD are different</w:t>
      </w:r>
      <w:r>
        <w:rPr>
          <w:szCs w:val="21"/>
        </w:rPr>
        <w:t>.</w:t>
      </w:r>
      <w:r>
        <w:rPr>
          <w:rFonts w:hint="eastAsia"/>
          <w:szCs w:val="21"/>
        </w:rPr>
        <w:t xml:space="preserve"> </w:t>
      </w:r>
      <w:r>
        <w:rPr>
          <w:szCs w:val="21"/>
        </w:rPr>
        <w:t>F</w:t>
      </w:r>
      <w:r>
        <w:rPr>
          <w:rFonts w:hint="eastAsia"/>
          <w:szCs w:val="21"/>
        </w:rPr>
        <w:t>or example, the system bandwidth of the TDD is much greater than that of the FDD. The number of DL T</w:t>
      </w:r>
      <w:r>
        <w:rPr>
          <w:szCs w:val="21"/>
        </w:rPr>
        <w:t>x</w:t>
      </w:r>
      <w:r>
        <w:rPr>
          <w:rFonts w:hint="eastAsia"/>
          <w:szCs w:val="21"/>
        </w:rPr>
        <w:t xml:space="preserve">RUs and the total DL power level </w:t>
      </w:r>
      <w:r>
        <w:rPr>
          <w:szCs w:val="21"/>
        </w:rPr>
        <w:t>are</w:t>
      </w:r>
      <w:r>
        <w:rPr>
          <w:rFonts w:hint="eastAsia"/>
          <w:szCs w:val="21"/>
        </w:rPr>
        <w:t xml:space="preserve"> also different</w:t>
      </w:r>
      <w:r>
        <w:rPr>
          <w:szCs w:val="21"/>
        </w:rPr>
        <w:t xml:space="preserve">. With all these different assumption for FDD and TDD, it is obvious that the absolute power consumption of TDD BS and FDD BS is different. </w:t>
      </w:r>
      <w:r>
        <w:rPr>
          <w:rFonts w:hint="eastAsia"/>
          <w:szCs w:val="21"/>
        </w:rPr>
        <w:t>H</w:t>
      </w:r>
      <w:r>
        <w:rPr>
          <w:szCs w:val="21"/>
        </w:rPr>
        <w:t>owever, since the power value of other states are defined in relative to sleep mode (for example, deep sleep) in the relative power consumption model, and the ratio between other state and deep sleep state is similar, the same relative power value can be considered for TDD and FDD in FR1.</w:t>
      </w:r>
    </w:p>
    <w:p>
      <w:pPr>
        <w:pStyle w:val="28"/>
        <w:spacing w:before="120" w:after="120"/>
        <w:rPr>
          <w:i w:val="0"/>
          <w:iCs w:val="0"/>
        </w:rPr>
      </w:pPr>
      <w:bookmarkStart w:id="25" w:name="_Toc604"/>
      <w:r>
        <w:rPr>
          <w:i w:val="0"/>
          <w:szCs w:val="21"/>
        </w:rPr>
        <w:t xml:space="preserve">Same </w:t>
      </w:r>
      <w:r>
        <w:rPr>
          <w:i w:val="0"/>
          <w:sz w:val="21"/>
          <w:szCs w:val="21"/>
        </w:rPr>
        <w:t>relative</w:t>
      </w:r>
      <w:r>
        <w:rPr>
          <w:i w:val="0"/>
          <w:szCs w:val="21"/>
        </w:rPr>
        <w:t xml:space="preserve"> power value can be considered for TDD and FDD in FR1</w:t>
      </w:r>
      <w:r>
        <w:rPr>
          <w:rFonts w:hint="eastAsia"/>
          <w:i w:val="0"/>
          <w:iCs w:val="0"/>
        </w:rPr>
        <w:t>.</w:t>
      </w:r>
      <w:bookmarkEnd w:id="25"/>
    </w:p>
    <w:p>
      <w:pPr>
        <w:tabs>
          <w:tab w:val="left" w:pos="0"/>
          <w:tab w:val="left" w:pos="420"/>
        </w:tabs>
        <w:spacing w:before="120" w:after="120" w:line="256" w:lineRule="auto"/>
        <w:rPr>
          <w:szCs w:val="21"/>
          <w:lang w:val="en-GB"/>
        </w:rPr>
      </w:pPr>
      <w:r>
        <w:rPr>
          <w:szCs w:val="21"/>
          <w:lang w:val="en-GB"/>
        </w:rPr>
        <w:t>For the power consumption of UL reception, since the main power contributor, i.e., PA is de-activated, the consequent power value is similar with micro sleep state.</w:t>
      </w:r>
      <w:r>
        <w:rPr>
          <w:rFonts w:hint="eastAsia"/>
          <w:szCs w:val="21"/>
          <w:lang w:val="en-GB"/>
        </w:rPr>
        <w:t xml:space="preserve"> </w:t>
      </w:r>
      <w:r>
        <w:rPr>
          <w:szCs w:val="21"/>
          <w:lang w:val="en-GB"/>
        </w:rPr>
        <w:t>For the power value of special slot with both DL and UL operation, it is straightforward that the power consumption can be modelled as the same with the DL transmission.</w:t>
      </w:r>
    </w:p>
    <w:p>
      <w:pPr>
        <w:tabs>
          <w:tab w:val="left" w:pos="0"/>
          <w:tab w:val="left" w:pos="420"/>
        </w:tabs>
        <w:spacing w:before="120" w:after="120" w:line="256" w:lineRule="auto"/>
      </w:pPr>
      <w:r>
        <w:rPr>
          <w:rFonts w:hint="eastAsia"/>
        </w:rPr>
        <w:t>According to the above analysis, an example of the power value corresponding to each power state is given in Table 1.</w:t>
      </w:r>
    </w:p>
    <w:p>
      <w:pPr>
        <w:spacing w:before="120" w:after="120" w:line="256" w:lineRule="auto"/>
        <w:jc w:val="center"/>
      </w:pPr>
      <w:r>
        <w:rPr>
          <w:rFonts w:hint="eastAsia"/>
        </w:rPr>
        <w:t>Table 1 power states and relative power</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1713"/>
        <w:gridCol w:w="4065"/>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gridSpan w:val="2"/>
            <w:vMerge w:val="restart"/>
            <w:vAlign w:val="center"/>
          </w:tcPr>
          <w:p>
            <w:pPr>
              <w:tabs>
                <w:tab w:val="left" w:pos="0"/>
                <w:tab w:val="left" w:pos="420"/>
              </w:tabs>
              <w:spacing w:before="120" w:after="120" w:line="256" w:lineRule="auto"/>
              <w:jc w:val="center"/>
              <w:rPr>
                <w:b/>
                <w:bCs/>
              </w:rPr>
            </w:pPr>
            <w:r>
              <w:rPr>
                <w:rFonts w:hint="eastAsia"/>
                <w:b/>
                <w:bCs/>
              </w:rPr>
              <w:t>Power state</w:t>
            </w:r>
          </w:p>
        </w:tc>
        <w:tc>
          <w:tcPr>
            <w:tcW w:w="4065" w:type="dxa"/>
            <w:vMerge w:val="restart"/>
            <w:vAlign w:val="center"/>
          </w:tcPr>
          <w:p>
            <w:pPr>
              <w:tabs>
                <w:tab w:val="left" w:pos="0"/>
                <w:tab w:val="left" w:pos="420"/>
              </w:tabs>
              <w:spacing w:before="120" w:after="120" w:line="256" w:lineRule="auto"/>
              <w:jc w:val="center"/>
              <w:rPr>
                <w:b/>
                <w:bCs/>
              </w:rPr>
            </w:pPr>
            <w:r>
              <w:rPr>
                <w:rFonts w:hint="eastAsia"/>
                <w:b/>
                <w:bCs/>
                <w:szCs w:val="21"/>
              </w:rPr>
              <w:t>characteristic</w:t>
            </w:r>
          </w:p>
        </w:tc>
        <w:tc>
          <w:tcPr>
            <w:tcW w:w="2751" w:type="dxa"/>
            <w:vAlign w:val="center"/>
          </w:tcPr>
          <w:p>
            <w:pPr>
              <w:tabs>
                <w:tab w:val="left" w:pos="0"/>
                <w:tab w:val="left" w:pos="420"/>
              </w:tabs>
              <w:spacing w:before="120" w:after="120" w:line="256" w:lineRule="auto"/>
              <w:jc w:val="center"/>
              <w:rPr>
                <w:b/>
                <w:bCs/>
              </w:rPr>
            </w:pPr>
            <w:r>
              <w:rPr>
                <w:rFonts w:hint="eastAsia"/>
                <w:b/>
                <w:bCs/>
                <w:szCs w:val="21"/>
              </w:rPr>
              <w:t>Relative power/slot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gridSpan w:val="2"/>
            <w:vMerge w:val="continue"/>
            <w:vAlign w:val="center"/>
          </w:tcPr>
          <w:p>
            <w:pPr>
              <w:tabs>
                <w:tab w:val="left" w:pos="0"/>
                <w:tab w:val="left" w:pos="420"/>
              </w:tabs>
              <w:spacing w:before="120" w:after="120" w:line="256" w:lineRule="auto"/>
              <w:jc w:val="center"/>
              <w:rPr>
                <w:b/>
                <w:bCs/>
              </w:rPr>
            </w:pPr>
          </w:p>
        </w:tc>
        <w:tc>
          <w:tcPr>
            <w:tcW w:w="4065" w:type="dxa"/>
            <w:vMerge w:val="continue"/>
            <w:vAlign w:val="center"/>
          </w:tcPr>
          <w:p>
            <w:pPr>
              <w:tabs>
                <w:tab w:val="left" w:pos="0"/>
                <w:tab w:val="left" w:pos="420"/>
              </w:tabs>
              <w:spacing w:before="120" w:after="120" w:line="256" w:lineRule="auto"/>
              <w:jc w:val="center"/>
              <w:rPr>
                <w:b/>
                <w:bCs/>
              </w:rPr>
            </w:pPr>
          </w:p>
        </w:tc>
        <w:tc>
          <w:tcPr>
            <w:tcW w:w="2751" w:type="dxa"/>
            <w:vAlign w:val="center"/>
          </w:tcPr>
          <w:p>
            <w:pPr>
              <w:tabs>
                <w:tab w:val="left" w:pos="0"/>
                <w:tab w:val="left" w:pos="420"/>
              </w:tabs>
              <w:spacing w:before="120" w:after="120" w:line="256" w:lineRule="auto"/>
              <w:jc w:val="center"/>
              <w:rPr>
                <w:b/>
                <w:bCs/>
              </w:rPr>
            </w:pPr>
            <w:r>
              <w:rPr>
                <w:b/>
                <w:bCs/>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dxa"/>
            <w:vMerge w:val="restart"/>
            <w:vAlign w:val="center"/>
          </w:tcPr>
          <w:p>
            <w:pPr>
              <w:tabs>
                <w:tab w:val="left" w:pos="0"/>
                <w:tab w:val="left" w:pos="420"/>
              </w:tabs>
              <w:spacing w:before="120" w:after="120" w:line="256" w:lineRule="auto"/>
              <w:jc w:val="center"/>
              <w:rPr>
                <w:b/>
                <w:bCs/>
              </w:rPr>
            </w:pPr>
            <w:r>
              <w:rPr>
                <w:rFonts w:hint="eastAsia"/>
                <w:b/>
                <w:bCs/>
              </w:rPr>
              <w:t xml:space="preserve">Sleep </w:t>
            </w:r>
          </w:p>
        </w:tc>
        <w:tc>
          <w:tcPr>
            <w:tcW w:w="1713" w:type="dxa"/>
            <w:vAlign w:val="center"/>
          </w:tcPr>
          <w:p>
            <w:pPr>
              <w:widowControl w:val="0"/>
              <w:spacing w:before="0" w:beforeLines="0" w:after="0" w:afterLines="0"/>
              <w:jc w:val="center"/>
              <w:rPr>
                <w:rFonts w:eastAsia="等线"/>
                <w:b/>
                <w:bCs/>
                <w:szCs w:val="21"/>
              </w:rPr>
            </w:pPr>
            <w:r>
              <w:rPr>
                <w:rFonts w:eastAsia="等线"/>
                <w:b/>
                <w:bCs/>
                <w:szCs w:val="21"/>
              </w:rPr>
              <w:t>Micro Sleep</w:t>
            </w:r>
          </w:p>
        </w:tc>
        <w:tc>
          <w:tcPr>
            <w:tcW w:w="4065" w:type="dxa"/>
            <w:vAlign w:val="center"/>
          </w:tcPr>
          <w:p>
            <w:pPr>
              <w:tabs>
                <w:tab w:val="left" w:pos="0"/>
                <w:tab w:val="left" w:pos="420"/>
              </w:tabs>
              <w:spacing w:before="120" w:after="120" w:line="256" w:lineRule="auto"/>
              <w:jc w:val="center"/>
            </w:pPr>
            <w:r>
              <w:t>Sleep state with PA de-activated</w:t>
            </w:r>
          </w:p>
        </w:tc>
        <w:tc>
          <w:tcPr>
            <w:tcW w:w="2751" w:type="dxa"/>
            <w:vAlign w:val="center"/>
          </w:tcPr>
          <w:p>
            <w:pPr>
              <w:tabs>
                <w:tab w:val="left" w:pos="0"/>
                <w:tab w:val="left" w:pos="420"/>
              </w:tabs>
              <w:spacing w:before="120" w:after="120" w:line="256" w:lineRule="auto"/>
              <w:jc w:val="cente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dxa"/>
            <w:vMerge w:val="continue"/>
            <w:vAlign w:val="center"/>
          </w:tcPr>
          <w:p>
            <w:pPr>
              <w:tabs>
                <w:tab w:val="left" w:pos="0"/>
                <w:tab w:val="left" w:pos="420"/>
              </w:tabs>
              <w:spacing w:before="120" w:after="120" w:line="256" w:lineRule="auto"/>
              <w:jc w:val="center"/>
              <w:rPr>
                <w:b/>
                <w:bCs/>
              </w:rPr>
            </w:pPr>
          </w:p>
        </w:tc>
        <w:tc>
          <w:tcPr>
            <w:tcW w:w="1713" w:type="dxa"/>
            <w:vAlign w:val="center"/>
          </w:tcPr>
          <w:p>
            <w:pPr>
              <w:widowControl w:val="0"/>
              <w:spacing w:before="0" w:beforeLines="0" w:after="0" w:afterLines="0"/>
              <w:jc w:val="center"/>
              <w:rPr>
                <w:rFonts w:eastAsia="等线"/>
                <w:b/>
                <w:bCs/>
                <w:szCs w:val="21"/>
              </w:rPr>
            </w:pPr>
            <w:r>
              <w:rPr>
                <w:rFonts w:hint="eastAsia" w:eastAsia="等线"/>
                <w:b/>
                <w:bCs/>
                <w:szCs w:val="21"/>
              </w:rPr>
              <w:t>Light sleep</w:t>
            </w:r>
          </w:p>
        </w:tc>
        <w:tc>
          <w:tcPr>
            <w:tcW w:w="4065" w:type="dxa"/>
            <w:vAlign w:val="center"/>
          </w:tcPr>
          <w:p>
            <w:pPr>
              <w:tabs>
                <w:tab w:val="left" w:pos="0"/>
                <w:tab w:val="left" w:pos="420"/>
              </w:tabs>
              <w:spacing w:before="120" w:after="120" w:line="256" w:lineRule="auto"/>
              <w:jc w:val="center"/>
            </w:pPr>
            <w:r>
              <w:t>Sleep state with digital processing components de-activated</w:t>
            </w:r>
          </w:p>
        </w:tc>
        <w:tc>
          <w:tcPr>
            <w:tcW w:w="2751" w:type="dxa"/>
            <w:vAlign w:val="center"/>
          </w:tcPr>
          <w:p>
            <w:pPr>
              <w:tabs>
                <w:tab w:val="left" w:pos="0"/>
                <w:tab w:val="left" w:pos="420"/>
              </w:tabs>
              <w:spacing w:before="120" w:after="120" w:line="256" w:lineRule="auto"/>
              <w:jc w:val="center"/>
            </w:pPr>
            <w:r>
              <w:rPr>
                <w:rFonts w:hint="eastAsi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dxa"/>
            <w:vMerge w:val="continue"/>
            <w:vAlign w:val="center"/>
          </w:tcPr>
          <w:p>
            <w:pPr>
              <w:tabs>
                <w:tab w:val="left" w:pos="0"/>
                <w:tab w:val="left" w:pos="420"/>
              </w:tabs>
              <w:spacing w:before="120" w:after="120" w:line="256" w:lineRule="auto"/>
              <w:jc w:val="center"/>
              <w:rPr>
                <w:b/>
                <w:bCs/>
              </w:rPr>
            </w:pPr>
          </w:p>
        </w:tc>
        <w:tc>
          <w:tcPr>
            <w:tcW w:w="1713" w:type="dxa"/>
            <w:vAlign w:val="center"/>
          </w:tcPr>
          <w:p>
            <w:pPr>
              <w:widowControl w:val="0"/>
              <w:spacing w:before="0" w:beforeLines="0" w:after="0" w:afterLines="0"/>
              <w:jc w:val="center"/>
              <w:rPr>
                <w:rFonts w:eastAsia="等线"/>
                <w:b/>
                <w:bCs/>
                <w:szCs w:val="21"/>
              </w:rPr>
            </w:pPr>
            <w:r>
              <w:rPr>
                <w:rFonts w:hint="eastAsia" w:eastAsia="等线"/>
                <w:b/>
                <w:bCs/>
                <w:szCs w:val="21"/>
              </w:rPr>
              <w:t>Deep sleep</w:t>
            </w:r>
          </w:p>
        </w:tc>
        <w:tc>
          <w:tcPr>
            <w:tcW w:w="4065" w:type="dxa"/>
            <w:vAlign w:val="center"/>
          </w:tcPr>
          <w:p>
            <w:pPr>
              <w:tabs>
                <w:tab w:val="left" w:pos="0"/>
                <w:tab w:val="left" w:pos="420"/>
              </w:tabs>
              <w:spacing w:before="120" w:after="120" w:line="256" w:lineRule="auto"/>
              <w:jc w:val="center"/>
            </w:pPr>
            <w:r>
              <w:t>Sleep state</w:t>
            </w:r>
            <w:r>
              <w:rPr>
                <w:rFonts w:hint="eastAsia"/>
              </w:rPr>
              <w:t xml:space="preserve"> </w:t>
            </w:r>
            <w:r>
              <w:t>with m</w:t>
            </w:r>
            <w:r>
              <w:rPr>
                <w:rFonts w:hint="eastAsia"/>
              </w:rPr>
              <w:t xml:space="preserve">ore </w:t>
            </w:r>
            <w:r>
              <w:t>components de-activated</w:t>
            </w:r>
          </w:p>
        </w:tc>
        <w:tc>
          <w:tcPr>
            <w:tcW w:w="2751" w:type="dxa"/>
            <w:vAlign w:val="center"/>
          </w:tcPr>
          <w:p>
            <w:pPr>
              <w:tabs>
                <w:tab w:val="left" w:pos="0"/>
                <w:tab w:val="left" w:pos="420"/>
              </w:tabs>
              <w:spacing w:before="120" w:after="120" w:line="256" w:lineRule="auto"/>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dxa"/>
            <w:vMerge w:val="restart"/>
            <w:vAlign w:val="center"/>
          </w:tcPr>
          <w:p>
            <w:pPr>
              <w:tabs>
                <w:tab w:val="left" w:pos="0"/>
                <w:tab w:val="left" w:pos="420"/>
              </w:tabs>
              <w:spacing w:before="120" w:after="120" w:line="256" w:lineRule="auto"/>
              <w:jc w:val="center"/>
              <w:rPr>
                <w:b/>
                <w:bCs/>
              </w:rPr>
            </w:pPr>
            <w:r>
              <w:rPr>
                <w:rFonts w:hint="eastAsia"/>
                <w:b/>
                <w:bCs/>
              </w:rPr>
              <w:t>Active</w:t>
            </w:r>
            <w:r>
              <w:rPr>
                <w:b/>
                <w:bCs/>
              </w:rPr>
              <w:t xml:space="preserve"> state</w:t>
            </w:r>
          </w:p>
        </w:tc>
        <w:tc>
          <w:tcPr>
            <w:tcW w:w="1713" w:type="dxa"/>
            <w:vAlign w:val="center"/>
          </w:tcPr>
          <w:p>
            <w:pPr>
              <w:tabs>
                <w:tab w:val="left" w:pos="0"/>
                <w:tab w:val="left" w:pos="420"/>
              </w:tabs>
              <w:spacing w:before="120" w:after="120" w:line="256" w:lineRule="auto"/>
              <w:jc w:val="center"/>
              <w:rPr>
                <w:b/>
                <w:bCs/>
              </w:rPr>
            </w:pPr>
            <w:r>
              <w:rPr>
                <w:b/>
                <w:bCs/>
              </w:rPr>
              <w:t>DL active state</w:t>
            </w:r>
            <w:r>
              <w:rPr>
                <w:rFonts w:hint="eastAsia"/>
                <w:b/>
                <w:bCs/>
              </w:rPr>
              <w:t xml:space="preserve"> </w:t>
            </w:r>
          </w:p>
        </w:tc>
        <w:tc>
          <w:tcPr>
            <w:tcW w:w="4065" w:type="dxa"/>
            <w:vAlign w:val="center"/>
          </w:tcPr>
          <w:p>
            <w:pPr>
              <w:tabs>
                <w:tab w:val="left" w:pos="0"/>
                <w:tab w:val="left" w:pos="420"/>
              </w:tabs>
              <w:spacing w:before="120" w:after="120" w:line="256" w:lineRule="auto"/>
              <w:jc w:val="center"/>
            </w:pPr>
            <w:r>
              <w:rPr>
                <w:rFonts w:hint="eastAsia"/>
              </w:rPr>
              <w:t>DL transmission with full bandwidth and symbols occupation</w:t>
            </w:r>
          </w:p>
        </w:tc>
        <w:tc>
          <w:tcPr>
            <w:tcW w:w="2751" w:type="dxa"/>
            <w:vAlign w:val="center"/>
          </w:tcPr>
          <w:p>
            <w:pPr>
              <w:tabs>
                <w:tab w:val="left" w:pos="0"/>
                <w:tab w:val="left" w:pos="420"/>
              </w:tabs>
              <w:spacing w:before="120" w:after="120" w:line="256" w:lineRule="auto"/>
              <w:jc w:val="center"/>
            </w:pPr>
            <w:r>
              <w:rPr>
                <w:rFonts w:hint="eastAsi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dxa"/>
            <w:vMerge w:val="continue"/>
            <w:vAlign w:val="center"/>
          </w:tcPr>
          <w:p>
            <w:pPr>
              <w:tabs>
                <w:tab w:val="left" w:pos="0"/>
                <w:tab w:val="left" w:pos="420"/>
              </w:tabs>
              <w:spacing w:before="120" w:after="120" w:line="256" w:lineRule="auto"/>
              <w:jc w:val="center"/>
              <w:rPr>
                <w:b/>
                <w:bCs/>
              </w:rPr>
            </w:pPr>
          </w:p>
        </w:tc>
        <w:tc>
          <w:tcPr>
            <w:tcW w:w="1713" w:type="dxa"/>
            <w:vAlign w:val="center"/>
          </w:tcPr>
          <w:p>
            <w:pPr>
              <w:tabs>
                <w:tab w:val="left" w:pos="0"/>
                <w:tab w:val="left" w:pos="420"/>
              </w:tabs>
              <w:spacing w:before="120" w:after="120" w:line="256" w:lineRule="auto"/>
              <w:jc w:val="center"/>
              <w:rPr>
                <w:b/>
                <w:bCs/>
              </w:rPr>
            </w:pPr>
            <w:r>
              <w:rPr>
                <w:b/>
                <w:bCs/>
              </w:rPr>
              <w:t>U</w:t>
            </w:r>
            <w:r>
              <w:rPr>
                <w:rFonts w:hint="eastAsia"/>
                <w:b/>
                <w:bCs/>
              </w:rPr>
              <w:t xml:space="preserve">L </w:t>
            </w:r>
            <w:r>
              <w:rPr>
                <w:b/>
                <w:bCs/>
              </w:rPr>
              <w:t>active state</w:t>
            </w:r>
          </w:p>
        </w:tc>
        <w:tc>
          <w:tcPr>
            <w:tcW w:w="4065" w:type="dxa"/>
            <w:vAlign w:val="center"/>
          </w:tcPr>
          <w:p>
            <w:pPr>
              <w:tabs>
                <w:tab w:val="left" w:pos="0"/>
                <w:tab w:val="left" w:pos="420"/>
              </w:tabs>
              <w:spacing w:before="120" w:after="120" w:line="256" w:lineRule="auto"/>
              <w:jc w:val="center"/>
            </w:pPr>
            <w:r>
              <w:rPr>
                <w:rFonts w:hint="eastAsia"/>
              </w:rPr>
              <w:t>U</w:t>
            </w:r>
            <w:r>
              <w:t>L reception</w:t>
            </w:r>
          </w:p>
        </w:tc>
        <w:tc>
          <w:tcPr>
            <w:tcW w:w="2751" w:type="dxa"/>
            <w:vAlign w:val="center"/>
          </w:tcPr>
          <w:p>
            <w:pPr>
              <w:tabs>
                <w:tab w:val="left" w:pos="0"/>
                <w:tab w:val="left" w:pos="420"/>
              </w:tabs>
              <w:spacing w:before="120" w:after="120" w:line="256" w:lineRule="auto"/>
              <w:jc w:val="cente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1" w:type="dxa"/>
            <w:vMerge w:val="continue"/>
            <w:vAlign w:val="center"/>
          </w:tcPr>
          <w:p>
            <w:pPr>
              <w:tabs>
                <w:tab w:val="left" w:pos="0"/>
                <w:tab w:val="left" w:pos="420"/>
              </w:tabs>
              <w:spacing w:before="120" w:after="120" w:line="256" w:lineRule="auto"/>
              <w:jc w:val="center"/>
              <w:rPr>
                <w:b/>
                <w:bCs/>
              </w:rPr>
            </w:pPr>
          </w:p>
        </w:tc>
        <w:tc>
          <w:tcPr>
            <w:tcW w:w="1713" w:type="dxa"/>
            <w:vAlign w:val="center"/>
          </w:tcPr>
          <w:p>
            <w:pPr>
              <w:tabs>
                <w:tab w:val="left" w:pos="0"/>
                <w:tab w:val="left" w:pos="420"/>
              </w:tabs>
              <w:spacing w:before="120" w:after="120" w:line="256" w:lineRule="auto"/>
              <w:rPr>
                <w:b/>
                <w:bCs/>
              </w:rPr>
            </w:pPr>
            <w:r>
              <w:rPr>
                <w:rFonts w:hint="eastAsia"/>
                <w:b/>
                <w:bCs/>
              </w:rPr>
              <w:t>DL+</w:t>
            </w:r>
            <w:r>
              <w:rPr>
                <w:b/>
                <w:bCs/>
              </w:rPr>
              <w:t>UL active state</w:t>
            </w:r>
          </w:p>
        </w:tc>
        <w:tc>
          <w:tcPr>
            <w:tcW w:w="4065" w:type="dxa"/>
            <w:vAlign w:val="center"/>
          </w:tcPr>
          <w:p>
            <w:pPr>
              <w:tabs>
                <w:tab w:val="left" w:pos="0"/>
                <w:tab w:val="left" w:pos="420"/>
              </w:tabs>
              <w:spacing w:before="120" w:after="120" w:line="256" w:lineRule="auto"/>
              <w:jc w:val="center"/>
            </w:pPr>
            <w:r>
              <w:t xml:space="preserve">Special slot with both DL </w:t>
            </w:r>
            <w:r>
              <w:rPr>
                <w:rFonts w:hint="eastAsia"/>
              </w:rPr>
              <w:t>transmission</w:t>
            </w:r>
            <w:r>
              <w:t xml:space="preserve"> and UL reception</w:t>
            </w:r>
          </w:p>
        </w:tc>
        <w:tc>
          <w:tcPr>
            <w:tcW w:w="2751" w:type="dxa"/>
            <w:vAlign w:val="center"/>
          </w:tcPr>
          <w:p>
            <w:pPr>
              <w:tabs>
                <w:tab w:val="left" w:pos="0"/>
                <w:tab w:val="left" w:pos="420"/>
              </w:tabs>
              <w:spacing w:before="120" w:after="120" w:line="256" w:lineRule="auto"/>
              <w:jc w:val="center"/>
            </w:pPr>
            <w:r>
              <w:rPr>
                <w:rFonts w:hint="eastAsia"/>
              </w:rPr>
              <w:t>100</w:t>
            </w:r>
          </w:p>
        </w:tc>
      </w:tr>
    </w:tbl>
    <w:p>
      <w:pPr>
        <w:tabs>
          <w:tab w:val="left" w:pos="0"/>
          <w:tab w:val="left" w:pos="420"/>
        </w:tabs>
        <w:spacing w:before="120" w:after="120" w:line="256" w:lineRule="auto"/>
      </w:pPr>
    </w:p>
    <w:p>
      <w:pPr>
        <w:tabs>
          <w:tab w:val="left" w:pos="0"/>
          <w:tab w:val="left" w:pos="420"/>
        </w:tabs>
        <w:spacing w:before="120" w:after="120" w:line="256" w:lineRule="auto"/>
      </w:pPr>
      <w:r>
        <w:rPr>
          <w:rFonts w:hint="eastAsia"/>
        </w:rPr>
        <w:t xml:space="preserve">As discussed, the three sleep modes correspond to 0 transition time, </w:t>
      </w:r>
      <w:r>
        <w:rPr>
          <w:szCs w:val="21"/>
        </w:rPr>
        <w:t>hundred milliseconds</w:t>
      </w:r>
      <w:r>
        <w:rPr>
          <w:rFonts w:hint="eastAsia"/>
        </w:rPr>
        <w:t xml:space="preserve"> transition time, and </w:t>
      </w:r>
      <w:r>
        <w:rPr>
          <w:szCs w:val="21"/>
        </w:rPr>
        <w:t>several seconds</w:t>
      </w:r>
      <w:r>
        <w:rPr>
          <w:rFonts w:hint="eastAsia"/>
          <w:szCs w:val="21"/>
        </w:rPr>
        <w:t xml:space="preserve"> transition</w:t>
      </w:r>
      <w:r>
        <w:rPr>
          <w:rFonts w:hint="eastAsia"/>
        </w:rPr>
        <w:t xml:space="preserve"> time respectively. Therefore, an immediate transition for micro sleep, </w:t>
      </w:r>
      <w:r>
        <w:t>4</w:t>
      </w:r>
      <w:r>
        <w:rPr>
          <w:rFonts w:hint="eastAsia"/>
        </w:rPr>
        <w:t xml:space="preserve">00ms transition </w:t>
      </w:r>
      <w:r>
        <w:t xml:space="preserve">time </w:t>
      </w:r>
      <w:r>
        <w:rPr>
          <w:rFonts w:hint="eastAsia"/>
        </w:rPr>
        <w:t xml:space="preserve">for light sleep and </w:t>
      </w:r>
      <w:r>
        <w:t>5</w:t>
      </w:r>
      <w:r>
        <w:rPr>
          <w:rFonts w:hint="eastAsia"/>
        </w:rPr>
        <w:t xml:space="preserve">s transition </w:t>
      </w:r>
      <w:r>
        <w:t xml:space="preserve">time </w:t>
      </w:r>
      <w:r>
        <w:rPr>
          <w:rFonts w:hint="eastAsia"/>
        </w:rPr>
        <w:t xml:space="preserve">for deep sleep can be adopted. </w:t>
      </w:r>
    </w:p>
    <w:p>
      <w:pPr>
        <w:tabs>
          <w:tab w:val="left" w:pos="0"/>
          <w:tab w:val="left" w:pos="420"/>
        </w:tabs>
        <w:spacing w:before="120" w:after="120" w:line="256" w:lineRule="auto"/>
      </w:pPr>
      <w:r>
        <w:t>T</w:t>
      </w:r>
      <w:r>
        <w:rPr>
          <w:rFonts w:hint="eastAsia"/>
        </w:rPr>
        <w:t xml:space="preserve">he shadow area in Figure 2 can be used as the start point for calculating the additional transition energy. In addition, it should be noted that the switching between micro sleep state and active state does not </w:t>
      </w:r>
      <w:r>
        <w:t>require</w:t>
      </w:r>
      <w:r>
        <w:rPr>
          <w:rFonts w:hint="eastAsia"/>
        </w:rPr>
        <w:t xml:space="preserve"> additional</w:t>
      </w:r>
      <w:r>
        <w:t xml:space="preserve"> transition time or</w:t>
      </w:r>
      <w:r>
        <w:rPr>
          <w:rFonts w:hint="eastAsia"/>
        </w:rPr>
        <w:t xml:space="preserve"> </w:t>
      </w:r>
      <w:r>
        <w:t>energy</w:t>
      </w:r>
      <w:r>
        <w:rPr>
          <w:rFonts w:hint="eastAsia"/>
        </w:rPr>
        <w:t>. Therefore, the power of the micro sleep can be used to replace the active state power when calculating the additional transition energy. What</w:t>
      </w:r>
      <w:r>
        <w:t>’</w:t>
      </w:r>
      <w:r>
        <w:rPr>
          <w:rFonts w:hint="eastAsia"/>
        </w:rPr>
        <w:t>s more, the conditions</w:t>
      </w:r>
      <w:r>
        <w:t xml:space="preserve"> on transition to a deeper sleep state </w:t>
      </w:r>
      <w:r>
        <w:rPr>
          <w:rFonts w:hint="eastAsia"/>
        </w:rPr>
        <w:t>(</w:t>
      </w:r>
      <w:r>
        <w:t>for example,</w:t>
      </w:r>
      <w:r>
        <w:rPr>
          <w:rFonts w:hint="eastAsia"/>
        </w:rPr>
        <w:t xml:space="preserve"> the deep sleep)</w:t>
      </w:r>
      <w:r>
        <w:t xml:space="preserve"> is met</w:t>
      </w:r>
      <w:r>
        <w:rPr>
          <w:rFonts w:hint="eastAsia"/>
        </w:rPr>
        <w:t>, the additional</w:t>
      </w:r>
      <w:r>
        <w:t xml:space="preserve"> energy for</w:t>
      </w:r>
      <w:r>
        <w:rPr>
          <w:rFonts w:hint="eastAsia"/>
        </w:rPr>
        <w:t xml:space="preserve"> the base station entering </w:t>
      </w:r>
      <w:r>
        <w:t>into the deeper</w:t>
      </w:r>
      <w:r>
        <w:rPr>
          <w:rFonts w:hint="eastAsia"/>
        </w:rPr>
        <w:t xml:space="preserve">-level sleep states </w:t>
      </w:r>
      <w:r>
        <w:t xml:space="preserve">should be </w:t>
      </w:r>
      <w:r>
        <w:rPr>
          <w:rFonts w:hint="eastAsia"/>
        </w:rPr>
        <w:t>lower than that of the low</w:t>
      </w:r>
      <w:r>
        <w:t>er</w:t>
      </w:r>
      <w:r>
        <w:rPr>
          <w:rFonts w:hint="eastAsia"/>
        </w:rPr>
        <w:t xml:space="preserve"> sleep states</w:t>
      </w:r>
      <w:r>
        <w:t xml:space="preserve"> </w:t>
      </w:r>
      <w:r>
        <w:rPr>
          <w:rFonts w:hint="eastAsia"/>
        </w:rPr>
        <w:t>(e.g. light sleep).</w:t>
      </w:r>
    </w:p>
    <w:p>
      <w:pPr>
        <w:tabs>
          <w:tab w:val="left" w:pos="0"/>
          <w:tab w:val="left" w:pos="420"/>
        </w:tabs>
        <w:spacing w:before="120" w:after="120" w:line="256" w:lineRule="auto"/>
      </w:pPr>
      <w:r>
        <w:rPr>
          <w:rFonts w:hint="eastAsia"/>
        </w:rPr>
        <w:t xml:space="preserve">Based on the above analysis, the transition time and the additional transition energy for network sleep states are provided in Table 2. </w:t>
      </w:r>
    </w:p>
    <w:p>
      <w:pPr>
        <w:tabs>
          <w:tab w:val="left" w:pos="0"/>
          <w:tab w:val="left" w:pos="420"/>
        </w:tabs>
        <w:spacing w:before="120" w:after="120" w:line="256" w:lineRule="auto"/>
      </w:pPr>
    </w:p>
    <w:p>
      <w:pPr>
        <w:tabs>
          <w:tab w:val="left" w:pos="0"/>
          <w:tab w:val="left" w:pos="420"/>
        </w:tabs>
        <w:spacing w:before="120" w:after="120" w:line="256" w:lineRule="auto"/>
        <w:jc w:val="center"/>
        <w:rPr>
          <w:szCs w:val="21"/>
        </w:rPr>
      </w:pPr>
      <w:bookmarkStart w:id="26" w:name="_Toc1195"/>
      <w:r>
        <w:rPr>
          <w:szCs w:val="21"/>
        </w:rPr>
        <w:t xml:space="preserve">Table </w:t>
      </w:r>
      <w:r>
        <w:rPr>
          <w:rFonts w:hint="eastAsia"/>
          <w:szCs w:val="21"/>
        </w:rPr>
        <w:t>2</w:t>
      </w:r>
      <w:r>
        <w:rPr>
          <w:szCs w:val="21"/>
        </w:rPr>
        <w:t xml:space="preserve"> </w:t>
      </w:r>
      <w:r>
        <w:t xml:space="preserve">transition </w:t>
      </w:r>
      <w:r>
        <w:rPr>
          <w:szCs w:val="21"/>
        </w:rPr>
        <w:t xml:space="preserve">time </w:t>
      </w:r>
      <w:r>
        <w:rPr>
          <w:rFonts w:hint="eastAsia"/>
          <w:szCs w:val="21"/>
        </w:rPr>
        <w:t xml:space="preserve">and additional transition energy </w:t>
      </w:r>
      <w:r>
        <w:rPr>
          <w:szCs w:val="21"/>
        </w:rPr>
        <w:t>of network sleep states</w:t>
      </w:r>
      <w:bookmarkEnd w:id="26"/>
    </w:p>
    <w:tbl>
      <w:tblPr>
        <w:tblStyle w:val="16"/>
        <w:tblW w:w="9397" w:type="dxa"/>
        <w:jc w:val="center"/>
        <w:tblLayout w:type="autofit"/>
        <w:tblCellMar>
          <w:top w:w="0" w:type="dxa"/>
          <w:left w:w="0" w:type="dxa"/>
          <w:bottom w:w="0" w:type="dxa"/>
          <w:right w:w="0" w:type="dxa"/>
        </w:tblCellMar>
      </w:tblPr>
      <w:tblGrid>
        <w:gridCol w:w="2257"/>
        <w:gridCol w:w="3590"/>
        <w:gridCol w:w="3550"/>
      </w:tblGrid>
      <w:tr>
        <w:tblPrEx>
          <w:tblCellMar>
            <w:top w:w="0" w:type="dxa"/>
            <w:left w:w="0" w:type="dxa"/>
            <w:bottom w:w="0" w:type="dxa"/>
            <w:right w:w="0" w:type="dxa"/>
          </w:tblCellMar>
        </w:tblPrEx>
        <w:trPr>
          <w:trHeight w:val="647" w:hRule="atLeast"/>
          <w:jc w:val="center"/>
        </w:trPr>
        <w:tc>
          <w:tcPr>
            <w:tcW w:w="2257" w:type="dxa"/>
            <w:tcBorders>
              <w:top w:val="single" w:color="000000" w:sz="8" w:space="0"/>
              <w:left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sz w:val="21"/>
                <w:szCs w:val="21"/>
              </w:rPr>
            </w:pPr>
            <w:r>
              <w:rPr>
                <w:rFonts w:ascii="Times New Roman" w:hAnsi="Times New Roman"/>
                <w:sz w:val="21"/>
                <w:szCs w:val="21"/>
              </w:rPr>
              <w:t>Sleep mode</w:t>
            </w:r>
          </w:p>
        </w:tc>
        <w:tc>
          <w:tcPr>
            <w:tcW w:w="3590" w:type="dxa"/>
            <w:tcBorders>
              <w:top w:val="single" w:color="000000" w:sz="8" w:space="0"/>
              <w:left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sz w:val="21"/>
                <w:szCs w:val="21"/>
              </w:rPr>
            </w:pPr>
            <w:r>
              <w:rPr>
                <w:rFonts w:ascii="Times New Roman" w:hAnsi="Times New Roman"/>
                <w:sz w:val="21"/>
                <w:szCs w:val="21"/>
              </w:rPr>
              <w:t>Total transition time</w:t>
            </w:r>
          </w:p>
        </w:tc>
        <w:tc>
          <w:tcPr>
            <w:tcW w:w="3550" w:type="dxa"/>
            <w:tcBorders>
              <w:top w:val="single" w:color="000000" w:sz="8" w:space="0"/>
              <w:left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120" w:after="120"/>
              <w:jc w:val="both"/>
              <w:rPr>
                <w:rFonts w:ascii="Times New Roman" w:hAnsi="Times New Roman"/>
                <w:sz w:val="21"/>
                <w:szCs w:val="21"/>
              </w:rPr>
            </w:pPr>
            <w:r>
              <w:rPr>
                <w:rFonts w:ascii="Times New Roman" w:hAnsi="Times New Roman"/>
                <w:sz w:val="21"/>
                <w:szCs w:val="21"/>
              </w:rPr>
              <w:t>Additional transition energy</w:t>
            </w:r>
          </w:p>
        </w:tc>
      </w:tr>
      <w:tr>
        <w:tblPrEx>
          <w:tblCellMar>
            <w:top w:w="0" w:type="dxa"/>
            <w:left w:w="0" w:type="dxa"/>
            <w:bottom w:w="0" w:type="dxa"/>
            <w:right w:w="0" w:type="dxa"/>
          </w:tblCellMar>
        </w:tblPrEx>
        <w:trPr>
          <w:trHeight w:val="148" w:hRule="atLeast"/>
          <w:jc w:val="center"/>
        </w:trPr>
        <w:tc>
          <w:tcPr>
            <w:tcW w:w="2257"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Deep sleep</w:t>
            </w:r>
          </w:p>
        </w:tc>
        <w:tc>
          <w:tcPr>
            <w:tcW w:w="359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several seconds</w:t>
            </w:r>
            <w:r>
              <w:rPr>
                <w:rFonts w:hint="eastAsia" w:ascii="Times New Roman" w:hAnsi="Times New Roman"/>
                <w:sz w:val="21"/>
                <w:szCs w:val="21"/>
              </w:rPr>
              <w:t xml:space="preserve">, e.g. </w:t>
            </w:r>
            <w:r>
              <w:rPr>
                <w:rFonts w:ascii="Times New Roman" w:hAnsi="Times New Roman"/>
                <w:sz w:val="21"/>
                <w:szCs w:val="21"/>
              </w:rPr>
              <w:t>5</w:t>
            </w:r>
            <w:r>
              <w:rPr>
                <w:rFonts w:hint="eastAsia" w:ascii="Times New Roman" w:hAnsi="Times New Roman"/>
                <w:sz w:val="21"/>
                <w:szCs w:val="21"/>
              </w:rPr>
              <w:t>s</w:t>
            </w:r>
          </w:p>
        </w:tc>
        <w:tc>
          <w:tcPr>
            <w:tcW w:w="355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hint="eastAsia" w:ascii="Times New Roman" w:hAnsi="Times New Roman"/>
                <w:sz w:val="21"/>
                <w:szCs w:val="21"/>
              </w:rPr>
              <w:t>20000</w:t>
            </w:r>
          </w:p>
        </w:tc>
      </w:tr>
      <w:tr>
        <w:tblPrEx>
          <w:tblCellMar>
            <w:top w:w="0" w:type="dxa"/>
            <w:left w:w="0" w:type="dxa"/>
            <w:bottom w:w="0" w:type="dxa"/>
            <w:right w:w="0" w:type="dxa"/>
          </w:tblCellMar>
        </w:tblPrEx>
        <w:trPr>
          <w:trHeight w:val="90" w:hRule="atLeast"/>
          <w:jc w:val="center"/>
        </w:trPr>
        <w:tc>
          <w:tcPr>
            <w:tcW w:w="2257"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Light sleep</w:t>
            </w:r>
          </w:p>
        </w:tc>
        <w:tc>
          <w:tcPr>
            <w:tcW w:w="359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hundred milliseconds</w:t>
            </w:r>
            <w:r>
              <w:rPr>
                <w:rFonts w:hint="eastAsia" w:ascii="Times New Roman" w:hAnsi="Times New Roman"/>
                <w:sz w:val="21"/>
                <w:szCs w:val="21"/>
              </w:rPr>
              <w:t xml:space="preserve">, e.g. </w:t>
            </w:r>
            <w:r>
              <w:rPr>
                <w:rFonts w:ascii="Times New Roman" w:hAnsi="Times New Roman"/>
                <w:sz w:val="21"/>
                <w:szCs w:val="21"/>
              </w:rPr>
              <w:t>4</w:t>
            </w:r>
            <w:r>
              <w:rPr>
                <w:rFonts w:hint="eastAsia" w:ascii="Times New Roman" w:hAnsi="Times New Roman"/>
                <w:sz w:val="21"/>
                <w:szCs w:val="21"/>
              </w:rPr>
              <w:t>00ms</w:t>
            </w:r>
          </w:p>
        </w:tc>
        <w:tc>
          <w:tcPr>
            <w:tcW w:w="355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hint="eastAsia" w:ascii="Times New Roman" w:hAnsi="Times New Roman"/>
                <w:sz w:val="21"/>
                <w:szCs w:val="21"/>
              </w:rPr>
              <w:t>1000</w:t>
            </w:r>
          </w:p>
        </w:tc>
      </w:tr>
      <w:tr>
        <w:tblPrEx>
          <w:tblCellMar>
            <w:top w:w="0" w:type="dxa"/>
            <w:left w:w="0" w:type="dxa"/>
            <w:bottom w:w="0" w:type="dxa"/>
            <w:right w:w="0" w:type="dxa"/>
          </w:tblCellMar>
        </w:tblPrEx>
        <w:trPr>
          <w:trHeight w:val="244" w:hRule="atLeast"/>
          <w:jc w:val="center"/>
        </w:trPr>
        <w:tc>
          <w:tcPr>
            <w:tcW w:w="2257"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Micro sleep</w:t>
            </w:r>
          </w:p>
        </w:tc>
        <w:tc>
          <w:tcPr>
            <w:tcW w:w="359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ascii="Times New Roman" w:hAnsi="Times New Roman"/>
                <w:sz w:val="21"/>
                <w:szCs w:val="21"/>
              </w:rPr>
              <w:t>0 ms</w:t>
            </w:r>
          </w:p>
        </w:tc>
        <w:tc>
          <w:tcPr>
            <w:tcW w:w="3550"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jc w:val="center"/>
              <w:rPr>
                <w:rFonts w:ascii="Times New Roman" w:hAnsi="Times New Roman"/>
                <w:sz w:val="21"/>
                <w:szCs w:val="21"/>
              </w:rPr>
            </w:pPr>
            <w:r>
              <w:rPr>
                <w:rFonts w:hint="eastAsia" w:ascii="Times New Roman" w:hAnsi="Times New Roman"/>
                <w:sz w:val="21"/>
                <w:szCs w:val="21"/>
              </w:rPr>
              <w:t>0</w:t>
            </w:r>
          </w:p>
        </w:tc>
      </w:tr>
      <w:tr>
        <w:tblPrEx>
          <w:tblCellMar>
            <w:top w:w="0" w:type="dxa"/>
            <w:left w:w="0" w:type="dxa"/>
            <w:bottom w:w="0" w:type="dxa"/>
            <w:right w:w="0" w:type="dxa"/>
          </w:tblCellMar>
        </w:tblPrEx>
        <w:trPr>
          <w:trHeight w:val="244" w:hRule="atLeast"/>
          <w:jc w:val="center"/>
        </w:trPr>
        <w:tc>
          <w:tcPr>
            <w:tcW w:w="9397" w:type="dxa"/>
            <w:gridSpan w:val="3"/>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7"/>
              <w:spacing w:before="0" w:beforeLines="0" w:afterLines="0"/>
              <w:rPr>
                <w:rFonts w:ascii="Times New Roman" w:hAnsi="Times New Roman"/>
                <w:sz w:val="21"/>
                <w:szCs w:val="21"/>
              </w:rPr>
            </w:pPr>
            <w:r>
              <w:rPr>
                <w:rFonts w:hint="eastAsia" w:ascii="Times New Roman" w:hAnsi="Times New Roman"/>
                <w:sz w:val="21"/>
                <w:szCs w:val="21"/>
              </w:rPr>
              <w:t>Note: Immediate transition is assumed for network energy saving study purpose between micro sleep state and a non-sleep state.</w:t>
            </w:r>
          </w:p>
        </w:tc>
      </w:tr>
    </w:tbl>
    <w:p>
      <w:pPr>
        <w:tabs>
          <w:tab w:val="left" w:pos="0"/>
          <w:tab w:val="left" w:pos="420"/>
        </w:tabs>
        <w:spacing w:before="120" w:after="120" w:line="256" w:lineRule="auto"/>
      </w:pPr>
    </w:p>
    <w:p>
      <w:pPr>
        <w:pStyle w:val="28"/>
        <w:spacing w:before="120" w:after="120"/>
        <w:jc w:val="both"/>
        <w:rPr>
          <w:i w:val="0"/>
          <w:iCs w:val="0"/>
          <w:sz w:val="21"/>
          <w:szCs w:val="21"/>
          <w:lang w:val="en-US" w:eastAsia="zh-CN"/>
        </w:rPr>
      </w:pPr>
      <w:bookmarkStart w:id="27" w:name="_Toc2818"/>
      <w:bookmarkStart w:id="28" w:name="_Toc25623"/>
      <w:bookmarkStart w:id="29" w:name="_Toc4220"/>
      <w:bookmarkStart w:id="30" w:name="_Toc32275"/>
      <w:bookmarkStart w:id="31" w:name="_Toc4297"/>
      <w:bookmarkStart w:id="32" w:name="_Toc30098"/>
      <w:r>
        <w:rPr>
          <w:i w:val="0"/>
          <w:iCs w:val="0"/>
          <w:sz w:val="21"/>
          <w:szCs w:val="21"/>
          <w:lang w:val="en-US" w:eastAsia="zh-CN"/>
        </w:rPr>
        <w:t xml:space="preserve">Table 1 </w:t>
      </w:r>
      <w:r>
        <w:rPr>
          <w:rFonts w:hint="eastAsia"/>
          <w:i w:val="0"/>
          <w:iCs w:val="0"/>
          <w:sz w:val="21"/>
          <w:szCs w:val="21"/>
          <w:lang w:val="en-US" w:eastAsia="zh-CN"/>
        </w:rPr>
        <w:t xml:space="preserve">and Table 2 </w:t>
      </w:r>
      <w:r>
        <w:rPr>
          <w:i w:val="0"/>
          <w:iCs w:val="0"/>
          <w:sz w:val="21"/>
          <w:szCs w:val="21"/>
          <w:lang w:val="en-US" w:eastAsia="zh-CN"/>
        </w:rPr>
        <w:t xml:space="preserve">can be taken as a starting point for </w:t>
      </w:r>
      <w:r>
        <w:rPr>
          <w:rFonts w:hint="eastAsia"/>
          <w:i w:val="0"/>
          <w:iCs w:val="0"/>
          <w:sz w:val="21"/>
          <w:szCs w:val="21"/>
          <w:lang w:val="en-US" w:eastAsia="zh-CN"/>
        </w:rPr>
        <w:t xml:space="preserve">network </w:t>
      </w:r>
      <w:r>
        <w:rPr>
          <w:i w:val="0"/>
          <w:iCs w:val="0"/>
          <w:sz w:val="21"/>
          <w:szCs w:val="21"/>
          <w:lang w:val="en-US" w:eastAsia="zh-CN"/>
        </w:rPr>
        <w:t xml:space="preserve">power consumption </w:t>
      </w:r>
      <w:r>
        <w:rPr>
          <w:rFonts w:hint="eastAsia"/>
          <w:i w:val="0"/>
          <w:iCs w:val="0"/>
          <w:sz w:val="21"/>
          <w:szCs w:val="21"/>
          <w:lang w:val="en-US" w:eastAsia="zh-CN"/>
        </w:rPr>
        <w:t>model</w:t>
      </w:r>
      <w:r>
        <w:rPr>
          <w:i w:val="0"/>
          <w:iCs w:val="0"/>
          <w:sz w:val="21"/>
          <w:szCs w:val="21"/>
          <w:lang w:val="en-US" w:eastAsia="zh-CN"/>
        </w:rPr>
        <w:t>.</w:t>
      </w:r>
      <w:bookmarkEnd w:id="27"/>
      <w:bookmarkEnd w:id="28"/>
      <w:bookmarkEnd w:id="29"/>
      <w:bookmarkEnd w:id="30"/>
      <w:bookmarkEnd w:id="31"/>
      <w:bookmarkEnd w:id="32"/>
      <w:r>
        <w:rPr>
          <w:i w:val="0"/>
          <w:iCs w:val="0"/>
          <w:sz w:val="21"/>
          <w:szCs w:val="21"/>
          <w:lang w:val="en-US" w:eastAsia="zh-CN"/>
        </w:rPr>
        <w:t xml:space="preserve"> </w:t>
      </w:r>
      <w:bookmarkEnd w:id="23"/>
      <w:bookmarkEnd w:id="24"/>
    </w:p>
    <w:p>
      <w:pPr>
        <w:spacing w:before="120" w:after="120" w:line="256" w:lineRule="auto"/>
        <w:rPr>
          <w:lang w:val="en-GB"/>
        </w:rPr>
      </w:pPr>
    </w:p>
    <w:p>
      <w:pPr>
        <w:pStyle w:val="3"/>
        <w:spacing w:before="120" w:after="120"/>
        <w:ind w:left="746" w:right="210" w:hanging="746" w:hangingChars="354"/>
        <w:rPr>
          <w:rFonts w:ascii="Times New Roman" w:hAnsi="Times New Roman"/>
          <w:b/>
          <w:bCs/>
          <w:sz w:val="21"/>
          <w:szCs w:val="21"/>
        </w:rPr>
      </w:pPr>
      <w:r>
        <w:rPr>
          <w:rFonts w:hint="eastAsia" w:ascii="Times New Roman" w:hAnsi="Times New Roman" w:eastAsia="宋体"/>
          <w:b/>
          <w:bCs/>
          <w:sz w:val="21"/>
          <w:szCs w:val="21"/>
        </w:rPr>
        <w:t>Energy</w:t>
      </w:r>
      <w:r>
        <w:rPr>
          <w:rFonts w:ascii="Times New Roman" w:hAnsi="Times New Roman"/>
          <w:b/>
          <w:bCs/>
          <w:sz w:val="21"/>
          <w:szCs w:val="21"/>
        </w:rPr>
        <w:t xml:space="preserve"> consumption scaling for adaptation</w:t>
      </w:r>
    </w:p>
    <w:p>
      <w:pPr>
        <w:spacing w:before="120" w:after="120" w:line="260" w:lineRule="auto"/>
        <w:rPr>
          <w:szCs w:val="21"/>
        </w:rPr>
      </w:pPr>
      <w:r>
        <w:rPr>
          <w:rFonts w:hint="eastAsia"/>
          <w:szCs w:val="21"/>
        </w:rPr>
        <w:t>The</w:t>
      </w:r>
      <w:r>
        <w:rPr>
          <w:szCs w:val="21"/>
        </w:rPr>
        <w:t xml:space="preserve"> power consumption value defined by the</w:t>
      </w:r>
      <w:r>
        <w:rPr>
          <w:rFonts w:hint="eastAsia"/>
          <w:szCs w:val="21"/>
        </w:rPr>
        <w:t xml:space="preserve"> reference </w:t>
      </w:r>
      <w:r>
        <w:rPr>
          <w:szCs w:val="21"/>
        </w:rPr>
        <w:t>parameters</w:t>
      </w:r>
      <w:r>
        <w:rPr>
          <w:rFonts w:hint="eastAsia"/>
          <w:szCs w:val="21"/>
        </w:rPr>
        <w:t xml:space="preserve"> is only applicable to </w:t>
      </w:r>
      <w:r>
        <w:rPr>
          <w:szCs w:val="21"/>
        </w:rPr>
        <w:t>th</w:t>
      </w:r>
      <w:r>
        <w:rPr>
          <w:rFonts w:hint="eastAsia"/>
          <w:szCs w:val="21"/>
        </w:rPr>
        <w:t>e</w:t>
      </w:r>
      <w:r>
        <w:rPr>
          <w:szCs w:val="21"/>
        </w:rPr>
        <w:t xml:space="preserve"> specific</w:t>
      </w:r>
      <w:r>
        <w:rPr>
          <w:rFonts w:hint="eastAsia"/>
          <w:szCs w:val="21"/>
        </w:rPr>
        <w:t xml:space="preserve"> </w:t>
      </w:r>
      <w:r>
        <w:rPr>
          <w:szCs w:val="21"/>
        </w:rPr>
        <w:t>configuration</w:t>
      </w:r>
      <w:r>
        <w:rPr>
          <w:rFonts w:hint="eastAsia"/>
          <w:szCs w:val="21"/>
        </w:rPr>
        <w:t>. When the base station configuration is changed, the power consumption of each power state should also be changed accordingly. Therefore, scaling method is important for network energy consumption modeling.</w:t>
      </w:r>
      <w:r>
        <w:rPr>
          <w:szCs w:val="21"/>
        </w:rPr>
        <w:t xml:space="preserve"> </w:t>
      </w:r>
      <w:r>
        <w:rPr>
          <w:rFonts w:hint="eastAsia"/>
          <w:szCs w:val="21"/>
        </w:rPr>
        <w:t xml:space="preserve">Similar to UE power consumption model, the network energy consumption model can be scaled according to a list of scaling factors. </w:t>
      </w:r>
    </w:p>
    <w:p>
      <w:pPr>
        <w:spacing w:before="120" w:after="120" w:line="260" w:lineRule="auto"/>
        <w:rPr>
          <w:szCs w:val="21"/>
        </w:rPr>
      </w:pPr>
      <w:r>
        <w:rPr>
          <w:rFonts w:hint="eastAsia"/>
          <w:szCs w:val="21"/>
        </w:rPr>
        <w:t xml:space="preserve">For the scaling of the occupied symbols, the number of the active symbols and the number of the micro sleep symbols </w:t>
      </w:r>
      <w:r>
        <w:rPr>
          <w:szCs w:val="21"/>
        </w:rPr>
        <w:t xml:space="preserve">within a slot </w:t>
      </w:r>
      <w:r>
        <w:rPr>
          <w:rFonts w:hint="eastAsia"/>
          <w:szCs w:val="21"/>
        </w:rPr>
        <w:t>should be considered.</w:t>
      </w:r>
    </w:p>
    <w:p>
      <w:pPr>
        <w:spacing w:before="120" w:after="120" w:line="260" w:lineRule="auto"/>
        <w:rPr>
          <w:szCs w:val="21"/>
        </w:rPr>
      </w:pPr>
      <w:r>
        <w:rPr>
          <w:rFonts w:hint="eastAsia"/>
          <w:szCs w:val="21"/>
        </w:rPr>
        <w:t>The transmission power per CC can be also impacted by the number of TxRUs, DL BW/RBs occupation and PSD. It should be noticed that the adaptation of DL BW/RBs occupation and PSD has similar influence on network power consumption, since the network power consumption is dominated by PA. Meanwhile, for spatial domain adaptation, TxRU shutting down provides gNB a chance to switch off more processing units and save more power saving benefits.</w:t>
      </w:r>
    </w:p>
    <w:p>
      <w:pPr>
        <w:spacing w:before="120" w:after="120" w:line="260" w:lineRule="auto"/>
        <w:rPr>
          <w:szCs w:val="21"/>
        </w:rPr>
      </w:pPr>
      <w:r>
        <w:rPr>
          <w:rFonts w:hint="eastAsia"/>
          <w:szCs w:val="21"/>
        </w:rPr>
        <w:t xml:space="preserve">For the scaling of the occupied BW/RBs for DL, the TxRUs for DL and PSD, a linear formula can be adopted. </w:t>
      </w:r>
    </w:p>
    <w:p>
      <w:pPr>
        <w:spacing w:before="120" w:after="120" w:line="260" w:lineRule="auto"/>
        <w:rPr>
          <w:szCs w:val="21"/>
        </w:rPr>
      </w:pPr>
      <w:r>
        <w:rPr>
          <w:rFonts w:hint="eastAsia"/>
          <w:szCs w:val="21"/>
        </w:rPr>
        <w:t xml:space="preserve">For </w:t>
      </w:r>
      <w:r>
        <w:rPr>
          <w:szCs w:val="21"/>
        </w:rPr>
        <w:t xml:space="preserve">the </w:t>
      </w:r>
      <w:r>
        <w:rPr>
          <w:rFonts w:hint="eastAsia"/>
          <w:szCs w:val="21"/>
        </w:rPr>
        <w:t>scaling</w:t>
      </w:r>
      <w:r>
        <w:rPr>
          <w:szCs w:val="21"/>
        </w:rPr>
        <w:t xml:space="preserve"> factors of</w:t>
      </w:r>
      <w:r>
        <w:rPr>
          <w:rFonts w:hint="eastAsia"/>
          <w:szCs w:val="21"/>
        </w:rPr>
        <w:t xml:space="preserve"> CA, a fixed scaling factor cannot represent all </w:t>
      </w:r>
      <w:r>
        <w:rPr>
          <w:szCs w:val="21"/>
        </w:rPr>
        <w:t>deployments and implementations</w:t>
      </w:r>
      <w:r>
        <w:rPr>
          <w:rFonts w:hint="eastAsia"/>
          <w:szCs w:val="21"/>
        </w:rPr>
        <w:t>. I</w:t>
      </w:r>
      <w:r>
        <w:rPr>
          <w:szCs w:val="21"/>
        </w:rPr>
        <w:t xml:space="preserve">n </w:t>
      </w:r>
      <w:r>
        <w:rPr>
          <w:rFonts w:hint="eastAsia"/>
          <w:szCs w:val="21"/>
        </w:rPr>
        <w:t>the case of intra-band CA</w:t>
      </w:r>
      <w:r>
        <w:rPr>
          <w:szCs w:val="21"/>
        </w:rPr>
        <w:t>,</w:t>
      </w:r>
      <w:r>
        <w:rPr>
          <w:rFonts w:hint="eastAsia"/>
          <w:szCs w:val="21"/>
        </w:rPr>
        <w:t xml:space="preserve"> </w:t>
      </w:r>
      <w:r>
        <w:rPr>
          <w:szCs w:val="21"/>
        </w:rPr>
        <w:t xml:space="preserve">some </w:t>
      </w:r>
      <w:r>
        <w:rPr>
          <w:rFonts w:hint="eastAsia"/>
          <w:szCs w:val="21"/>
        </w:rPr>
        <w:t xml:space="preserve">RF components </w:t>
      </w:r>
      <w:r>
        <w:rPr>
          <w:szCs w:val="21"/>
        </w:rPr>
        <w:t xml:space="preserve">are shared among difference cells. </w:t>
      </w:r>
      <w:r>
        <w:rPr>
          <w:rFonts w:hint="eastAsia"/>
          <w:szCs w:val="21"/>
        </w:rPr>
        <w:t>For intra-band CA with hardware coupling, the energy consumption of the multiple cells is less than the sum of the power consumption of each cell</w:t>
      </w:r>
      <w:r>
        <w:rPr>
          <w:szCs w:val="21"/>
        </w:rPr>
        <w:t>.</w:t>
      </w:r>
      <w:r>
        <w:rPr>
          <w:rFonts w:hint="eastAsia"/>
          <w:szCs w:val="21"/>
        </w:rPr>
        <w:t xml:space="preserve"> </w:t>
      </w:r>
    </w:p>
    <w:p>
      <w:pPr>
        <w:spacing w:before="120" w:after="120" w:line="260" w:lineRule="auto"/>
        <w:rPr>
          <w:szCs w:val="21"/>
        </w:rPr>
      </w:pPr>
      <w:r>
        <w:rPr>
          <w:szCs w:val="21"/>
        </w:rPr>
        <w:t>However, for a typical implementation</w:t>
      </w:r>
      <w:r>
        <w:rPr>
          <w:rFonts w:hint="eastAsia"/>
          <w:szCs w:val="21"/>
        </w:rPr>
        <w:t xml:space="preserve"> </w:t>
      </w:r>
      <w:r>
        <w:rPr>
          <w:szCs w:val="21"/>
        </w:rPr>
        <w:t>of inter-band CA, the RF chains and other components of difference cells are independent.</w:t>
      </w:r>
      <w:r>
        <w:rPr>
          <w:rFonts w:hint="eastAsia"/>
          <w:szCs w:val="21"/>
        </w:rPr>
        <w:t xml:space="preserve"> Therefore, for </w:t>
      </w:r>
      <w:r>
        <w:rPr>
          <w:szCs w:val="21"/>
        </w:rPr>
        <w:t>inter-band CA</w:t>
      </w:r>
      <w:r>
        <w:rPr>
          <w:rFonts w:hint="eastAsia"/>
          <w:szCs w:val="21"/>
        </w:rPr>
        <w:t xml:space="preserve">, the </w:t>
      </w:r>
      <w:r>
        <w:rPr>
          <w:szCs w:val="21"/>
        </w:rPr>
        <w:t xml:space="preserve">total </w:t>
      </w:r>
      <w:r>
        <w:rPr>
          <w:rFonts w:hint="eastAsia"/>
          <w:szCs w:val="21"/>
        </w:rPr>
        <w:t xml:space="preserve">energy consumption of multiple cells is basically equal to the sum of the power consumption of each cell. </w:t>
      </w:r>
    </w:p>
    <w:p>
      <w:pPr>
        <w:spacing w:before="120" w:after="120" w:line="260" w:lineRule="auto"/>
        <w:rPr>
          <w:szCs w:val="21"/>
        </w:rPr>
      </w:pPr>
      <w:r>
        <w:rPr>
          <w:rFonts w:hint="eastAsia"/>
          <w:szCs w:val="21"/>
        </w:rPr>
        <w:t xml:space="preserve">Similar to CA, the scaling of </w:t>
      </w:r>
      <w:r>
        <w:rPr>
          <w:szCs w:val="21"/>
        </w:rPr>
        <w:t>m</w:t>
      </w:r>
      <w:r>
        <w:rPr>
          <w:rFonts w:hint="eastAsia"/>
          <w:szCs w:val="21"/>
        </w:rPr>
        <w:t>TRP is also related to hardware implementation.</w:t>
      </w:r>
    </w:p>
    <w:p>
      <w:pPr>
        <w:pStyle w:val="27"/>
        <w:spacing w:before="120" w:after="120"/>
        <w:jc w:val="both"/>
        <w:rPr>
          <w:i w:val="0"/>
          <w:sz w:val="21"/>
          <w:szCs w:val="21"/>
          <w:lang w:val="en-US" w:eastAsia="zh-CN"/>
        </w:rPr>
      </w:pPr>
      <w:bookmarkStart w:id="33" w:name="_Toc5634"/>
      <w:r>
        <w:rPr>
          <w:i w:val="0"/>
          <w:sz w:val="21"/>
          <w:szCs w:val="21"/>
          <w:lang w:val="en-US" w:eastAsia="zh-CN"/>
        </w:rPr>
        <w:t xml:space="preserve">For </w:t>
      </w:r>
      <w:r>
        <w:rPr>
          <w:i w:val="0"/>
          <w:iCs w:val="0"/>
          <w:sz w:val="21"/>
          <w:szCs w:val="21"/>
          <w:lang w:val="en-US" w:eastAsia="zh-CN"/>
        </w:rPr>
        <w:t xml:space="preserve">intra-band CA, </w:t>
      </w:r>
      <w:r>
        <w:rPr>
          <w:rFonts w:hint="eastAsia"/>
          <w:i w:val="0"/>
          <w:sz w:val="21"/>
          <w:szCs w:val="21"/>
        </w:rPr>
        <w:t>the</w:t>
      </w:r>
      <w:r>
        <w:rPr>
          <w:i w:val="0"/>
          <w:sz w:val="21"/>
          <w:szCs w:val="21"/>
        </w:rPr>
        <w:t xml:space="preserve"> total</w:t>
      </w:r>
      <w:r>
        <w:rPr>
          <w:rFonts w:hint="eastAsia"/>
          <w:i w:val="0"/>
          <w:sz w:val="21"/>
          <w:szCs w:val="21"/>
        </w:rPr>
        <w:t xml:space="preserve"> energy consumption</w:t>
      </w:r>
      <w:r>
        <w:rPr>
          <w:rFonts w:hint="eastAsia"/>
          <w:i w:val="0"/>
          <w:sz w:val="21"/>
          <w:szCs w:val="21"/>
          <w:lang w:val="en-US" w:eastAsia="zh-CN"/>
        </w:rPr>
        <w:t xml:space="preserve"> of multiple</w:t>
      </w:r>
      <w:r>
        <w:rPr>
          <w:rFonts w:hint="eastAsia"/>
          <w:i w:val="0"/>
          <w:sz w:val="21"/>
          <w:szCs w:val="21"/>
        </w:rPr>
        <w:t xml:space="preserve"> cells is less than the sum of the power consumption of each cell</w:t>
      </w:r>
      <w:r>
        <w:rPr>
          <w:i w:val="0"/>
          <w:sz w:val="21"/>
          <w:szCs w:val="21"/>
        </w:rPr>
        <w:t xml:space="preserve">. For inter-band CA, </w:t>
      </w:r>
      <w:r>
        <w:rPr>
          <w:rFonts w:hint="eastAsia"/>
          <w:i w:val="0"/>
          <w:sz w:val="21"/>
          <w:szCs w:val="21"/>
        </w:rPr>
        <w:t>the</w:t>
      </w:r>
      <w:r>
        <w:rPr>
          <w:i w:val="0"/>
          <w:sz w:val="21"/>
          <w:szCs w:val="21"/>
        </w:rPr>
        <w:t xml:space="preserve"> total</w:t>
      </w:r>
      <w:r>
        <w:rPr>
          <w:rFonts w:hint="eastAsia"/>
          <w:i w:val="0"/>
          <w:sz w:val="21"/>
          <w:szCs w:val="21"/>
        </w:rPr>
        <w:t xml:space="preserve"> energy consumption</w:t>
      </w:r>
      <w:r>
        <w:rPr>
          <w:rFonts w:hint="eastAsia"/>
          <w:i w:val="0"/>
          <w:sz w:val="21"/>
          <w:szCs w:val="21"/>
          <w:lang w:val="en-US" w:eastAsia="zh-CN"/>
        </w:rPr>
        <w:t xml:space="preserve"> of multiple</w:t>
      </w:r>
      <w:r>
        <w:rPr>
          <w:rFonts w:hint="eastAsia"/>
          <w:i w:val="0"/>
          <w:sz w:val="21"/>
          <w:szCs w:val="21"/>
        </w:rPr>
        <w:t xml:space="preserve"> cells is </w:t>
      </w:r>
      <w:r>
        <w:rPr>
          <w:i w:val="0"/>
          <w:sz w:val="21"/>
          <w:szCs w:val="21"/>
        </w:rPr>
        <w:t>equal to</w:t>
      </w:r>
      <w:r>
        <w:rPr>
          <w:rFonts w:hint="eastAsia"/>
          <w:i w:val="0"/>
          <w:sz w:val="21"/>
          <w:szCs w:val="21"/>
        </w:rPr>
        <w:t xml:space="preserve"> the sum of the power consumption of each cell</w:t>
      </w:r>
      <w:r>
        <w:rPr>
          <w:i w:val="0"/>
          <w:sz w:val="21"/>
          <w:szCs w:val="21"/>
        </w:rPr>
        <w:t>.</w:t>
      </w:r>
      <w:bookmarkEnd w:id="33"/>
    </w:p>
    <w:p>
      <w:pPr>
        <w:spacing w:before="120" w:after="120" w:line="260" w:lineRule="auto"/>
        <w:rPr>
          <w:szCs w:val="21"/>
        </w:rPr>
      </w:pPr>
      <w:r>
        <w:rPr>
          <w:rFonts w:hint="eastAsia"/>
          <w:szCs w:val="21"/>
        </w:rPr>
        <w:t>Based on the above analysis, we recommend the following</w:t>
      </w:r>
      <w:r>
        <w:rPr>
          <w:szCs w:val="21"/>
        </w:rPr>
        <w:t xml:space="preserve"> proposal</w:t>
      </w:r>
      <w:r>
        <w:rPr>
          <w:rFonts w:hint="eastAsia"/>
          <w:szCs w:val="21"/>
        </w:rPr>
        <w:t>.</w:t>
      </w:r>
    </w:p>
    <w:p>
      <w:pPr>
        <w:pStyle w:val="28"/>
        <w:spacing w:before="120" w:after="120"/>
        <w:jc w:val="both"/>
        <w:rPr>
          <w:sz w:val="21"/>
          <w:szCs w:val="21"/>
          <w:lang w:val="en-US" w:eastAsia="zh-CN"/>
        </w:rPr>
      </w:pPr>
      <w:bookmarkStart w:id="34" w:name="_Toc25456"/>
      <w:bookmarkStart w:id="35" w:name="_Toc20390"/>
      <w:r>
        <w:rPr>
          <w:i w:val="0"/>
          <w:iCs w:val="0"/>
          <w:sz w:val="21"/>
          <w:szCs w:val="21"/>
          <w:lang w:val="en-US" w:eastAsia="zh-CN"/>
        </w:rPr>
        <w:t xml:space="preserve">Table </w:t>
      </w:r>
      <w:r>
        <w:rPr>
          <w:rFonts w:hint="eastAsia"/>
          <w:i w:val="0"/>
          <w:iCs w:val="0"/>
          <w:sz w:val="21"/>
          <w:szCs w:val="21"/>
          <w:lang w:val="en-US" w:eastAsia="zh-CN"/>
        </w:rPr>
        <w:t xml:space="preserve">3 </w:t>
      </w:r>
      <w:r>
        <w:rPr>
          <w:i w:val="0"/>
          <w:iCs w:val="0"/>
          <w:sz w:val="21"/>
          <w:szCs w:val="21"/>
          <w:lang w:val="en-US" w:eastAsia="zh-CN"/>
        </w:rPr>
        <w:t>can be considered as a starting point of the scaling factors of network power consumption model.</w:t>
      </w:r>
      <w:bookmarkEnd w:id="34"/>
      <w:bookmarkEnd w:id="35"/>
    </w:p>
    <w:p>
      <w:pPr>
        <w:pStyle w:val="53"/>
        <w:spacing w:before="120" w:after="120"/>
        <w:rPr>
          <w:rFonts w:ascii="Times New Roman" w:hAnsi="Times New Roman"/>
          <w:b w:val="0"/>
          <w:bCs/>
          <w:szCs w:val="21"/>
        </w:rPr>
      </w:pPr>
      <w:bookmarkStart w:id="36" w:name="_Ref528491787"/>
      <w:r>
        <w:rPr>
          <w:rFonts w:ascii="Times New Roman" w:hAnsi="Times New Roman"/>
          <w:b w:val="0"/>
          <w:bCs/>
          <w:szCs w:val="21"/>
        </w:rPr>
        <w:t xml:space="preserve">Table </w:t>
      </w:r>
      <w:bookmarkEnd w:id="36"/>
      <w:r>
        <w:rPr>
          <w:rFonts w:ascii="Times New Roman" w:hAnsi="Times New Roman"/>
          <w:b w:val="0"/>
          <w:bCs/>
          <w:szCs w:val="21"/>
        </w:rPr>
        <w:t xml:space="preserve">3: </w:t>
      </w:r>
      <w:r>
        <w:rPr>
          <w:rFonts w:hint="eastAsia" w:ascii="Times New Roman" w:hAnsi="Times New Roman"/>
          <w:b w:val="0"/>
          <w:bCs/>
          <w:szCs w:val="21"/>
        </w:rPr>
        <w:t>Network</w:t>
      </w:r>
      <w:r>
        <w:rPr>
          <w:rFonts w:ascii="Times New Roman" w:hAnsi="Times New Roman"/>
          <w:b w:val="0"/>
          <w:bCs/>
          <w:szCs w:val="21"/>
        </w:rPr>
        <w:t xml:space="preserve"> </w:t>
      </w:r>
      <w:r>
        <w:rPr>
          <w:rFonts w:hint="eastAsia" w:ascii="Times New Roman" w:hAnsi="Times New Roman"/>
          <w:b w:val="0"/>
          <w:bCs/>
          <w:szCs w:val="21"/>
        </w:rPr>
        <w:t>energy</w:t>
      </w:r>
      <w:r>
        <w:rPr>
          <w:rFonts w:ascii="Times New Roman" w:hAnsi="Times New Roman"/>
          <w:b w:val="0"/>
          <w:bCs/>
          <w:szCs w:val="21"/>
        </w:rPr>
        <w:t xml:space="preserve"> consumption scaling for adaptation</w:t>
      </w:r>
    </w:p>
    <w:tbl>
      <w:tblPr>
        <w:tblStyle w:val="16"/>
        <w:tblW w:w="9039" w:type="dxa"/>
        <w:jc w:val="center"/>
        <w:tblLayout w:type="autofit"/>
        <w:tblCellMar>
          <w:top w:w="0" w:type="dxa"/>
          <w:left w:w="0" w:type="dxa"/>
          <w:bottom w:w="0" w:type="dxa"/>
          <w:right w:w="0" w:type="dxa"/>
        </w:tblCellMar>
      </w:tblPr>
      <w:tblGrid>
        <w:gridCol w:w="2956"/>
        <w:gridCol w:w="6083"/>
      </w:tblGrid>
      <w:tr>
        <w:tblPrEx>
          <w:tblCellMar>
            <w:top w:w="0" w:type="dxa"/>
            <w:left w:w="0" w:type="dxa"/>
            <w:bottom w:w="0" w:type="dxa"/>
            <w:right w:w="0" w:type="dxa"/>
          </w:tblCellMar>
        </w:tblPrEx>
        <w:trPr>
          <w:trHeight w:val="322" w:hRule="atLeast"/>
          <w:jc w:val="center"/>
        </w:trPr>
        <w:tc>
          <w:tcPr>
            <w:tcW w:w="29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5"/>
              <w:spacing w:before="72" w:beforeLines="30" w:after="72" w:afterLines="30"/>
              <w:rPr>
                <w:rFonts w:ascii="Times New Roman" w:hAnsi="Times New Roman"/>
                <w:sz w:val="21"/>
                <w:szCs w:val="21"/>
              </w:rPr>
            </w:pPr>
            <w:r>
              <w:rPr>
                <w:rFonts w:ascii="Times New Roman" w:hAnsi="Times New Roman"/>
                <w:sz w:val="21"/>
                <w:szCs w:val="21"/>
              </w:rPr>
              <w:t>Scaling for FR1</w:t>
            </w:r>
          </w:p>
        </w:tc>
        <w:tc>
          <w:tcPr>
            <w:tcW w:w="6083"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45"/>
              <w:spacing w:before="72" w:beforeLines="30" w:after="72" w:afterLines="30"/>
              <w:rPr>
                <w:rFonts w:ascii="Times New Roman" w:hAnsi="Times New Roman"/>
                <w:sz w:val="21"/>
                <w:szCs w:val="21"/>
              </w:rPr>
            </w:pPr>
            <w:r>
              <w:rPr>
                <w:rFonts w:ascii="Times New Roman" w:hAnsi="Times New Roman"/>
                <w:sz w:val="21"/>
                <w:szCs w:val="21"/>
              </w:rPr>
              <w:t>Proposal</w:t>
            </w:r>
          </w:p>
        </w:tc>
      </w:tr>
      <w:tr>
        <w:tblPrEx>
          <w:tblCellMar>
            <w:top w:w="0" w:type="dxa"/>
            <w:left w:w="0" w:type="dxa"/>
            <w:bottom w:w="0" w:type="dxa"/>
            <w:right w:w="0" w:type="dxa"/>
          </w:tblCellMar>
        </w:tblPrEx>
        <w:trPr>
          <w:trHeight w:val="644" w:hRule="atLeast"/>
          <w:jc w:val="center"/>
        </w:trPr>
        <w:tc>
          <w:tcPr>
            <w:tcW w:w="29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rFonts w:ascii="Times New Roman" w:hAnsi="Times New Roman"/>
                <w:sz w:val="21"/>
                <w:szCs w:val="21"/>
              </w:rPr>
            </w:pPr>
            <w:r>
              <w:rPr>
                <w:rFonts w:hint="eastAsia" w:ascii="Times New Roman" w:hAnsi="Times New Roman"/>
                <w:sz w:val="21"/>
                <w:szCs w:val="21"/>
              </w:rPr>
              <w:t>System</w:t>
            </w:r>
            <w:r>
              <w:rPr>
                <w:rFonts w:ascii="Times New Roman" w:hAnsi="Times New Roman"/>
                <w:sz w:val="21"/>
                <w:szCs w:val="21"/>
              </w:rPr>
              <w:t xml:space="preserve"> Bandwidth (DL)</w:t>
            </w:r>
          </w:p>
        </w:tc>
        <w:tc>
          <w:tcPr>
            <w:tcW w:w="6083"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rFonts w:ascii="Times New Roman" w:hAnsi="Times New Roman"/>
                <w:sz w:val="21"/>
                <w:szCs w:val="21"/>
              </w:rPr>
            </w:pPr>
            <w:r>
              <w:rPr>
                <w:rFonts w:hint="eastAsia" w:ascii="Times New Roman" w:hAnsi="Times New Roman"/>
                <w:position w:val="-12"/>
                <w:sz w:val="21"/>
                <w:szCs w:val="21"/>
              </w:rPr>
              <w:object>
                <v:shape id="_x0000_i1025" o:spt="75" type="#_x0000_t75" style="height:16.3pt;width:75.1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r>
              <w:rPr>
                <w:rFonts w:hint="eastAsia" w:ascii="Times New Roman" w:hAnsi="Times New Roman"/>
                <w:sz w:val="21"/>
                <w:szCs w:val="21"/>
              </w:rPr>
              <w:t xml:space="preserve">, wherein </w:t>
            </w:r>
            <w:r>
              <w:rPr>
                <w:rFonts w:ascii="Times New Roman" w:hAnsi="Times New Roman"/>
                <w:sz w:val="21"/>
                <w:szCs w:val="21"/>
              </w:rPr>
              <w:t xml:space="preserve">X </w:t>
            </w:r>
            <w:r>
              <w:rPr>
                <w:rFonts w:hint="eastAsia" w:ascii="Times New Roman" w:hAnsi="Times New Roman"/>
                <w:sz w:val="21"/>
                <w:szCs w:val="21"/>
              </w:rPr>
              <w:t xml:space="preserve">is the occupied system bandwidth, </w:t>
            </w:r>
            <w:r>
              <w:rPr>
                <w:rFonts w:hint="eastAsia" w:ascii="Times New Roman" w:hAnsi="Times New Roman"/>
                <w:position w:val="-10"/>
                <w:sz w:val="21"/>
                <w:szCs w:val="21"/>
              </w:rPr>
              <w:object>
                <v:shape id="_x0000_i1026" o:spt="75" type="#_x0000_t75" style="height:15.05pt;width:18.8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Times New Roman" w:hAnsi="Times New Roman"/>
                <w:sz w:val="21"/>
                <w:szCs w:val="21"/>
              </w:rPr>
              <w:t xml:space="preserve">is the system bandwidth of the reference configuration, e.g., </w:t>
            </w:r>
            <w:r>
              <w:rPr>
                <w:rFonts w:hint="eastAsia" w:ascii="Times New Roman" w:hAnsi="Times New Roman"/>
                <w:position w:val="-10"/>
                <w:sz w:val="21"/>
                <w:szCs w:val="21"/>
              </w:rPr>
              <w:object>
                <v:shape id="_x0000_i1027" o:spt="75" type="#_x0000_t75" style="height:15.05pt;width:39.4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ascii="Times New Roman" w:hAnsi="Times New Roman"/>
                <w:sz w:val="21"/>
                <w:szCs w:val="21"/>
              </w:rPr>
              <w:t xml:space="preserve">for FDD and </w:t>
            </w:r>
            <w:r>
              <w:rPr>
                <w:rFonts w:hint="eastAsia" w:ascii="Times New Roman" w:hAnsi="Times New Roman"/>
                <w:position w:val="-10"/>
                <w:sz w:val="21"/>
                <w:szCs w:val="21"/>
              </w:rPr>
              <w:object>
                <v:shape id="_x0000_i1028" o:spt="75" type="#_x0000_t75" style="height:15.05pt;width:43.85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ascii="Times New Roman" w:hAnsi="Times New Roman"/>
                <w:sz w:val="21"/>
                <w:szCs w:val="21"/>
              </w:rPr>
              <w:t>for TDD</w:t>
            </w:r>
            <w:r>
              <w:rPr>
                <w:rFonts w:ascii="Times New Roman" w:hAnsi="Times New Roman"/>
                <w:sz w:val="21"/>
                <w:szCs w:val="21"/>
              </w:rPr>
              <w:t>.</w:t>
            </w:r>
          </w:p>
        </w:tc>
      </w:tr>
      <w:tr>
        <w:tblPrEx>
          <w:tblCellMar>
            <w:top w:w="0" w:type="dxa"/>
            <w:left w:w="0" w:type="dxa"/>
            <w:bottom w:w="0" w:type="dxa"/>
            <w:right w:w="0" w:type="dxa"/>
          </w:tblCellMar>
        </w:tblPrEx>
        <w:trPr>
          <w:trHeight w:val="632" w:hRule="atLeast"/>
          <w:jc w:val="center"/>
        </w:trPr>
        <w:tc>
          <w:tcPr>
            <w:tcW w:w="29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rFonts w:ascii="Times New Roman" w:hAnsi="Times New Roman"/>
                <w:sz w:val="21"/>
                <w:szCs w:val="21"/>
              </w:rPr>
            </w:pPr>
            <w:r>
              <w:rPr>
                <w:rFonts w:hint="eastAsia" w:ascii="Times New Roman" w:hAnsi="Times New Roman"/>
                <w:sz w:val="21"/>
                <w:szCs w:val="21"/>
              </w:rPr>
              <w:t>Occupied symbols</w:t>
            </w:r>
            <w:r>
              <w:rPr>
                <w:rFonts w:ascii="Times New Roman" w:hAnsi="Times New Roman"/>
                <w:sz w:val="21"/>
                <w:szCs w:val="21"/>
              </w:rPr>
              <w:t>(DL)</w:t>
            </w:r>
          </w:p>
        </w:tc>
        <w:tc>
          <w:tcPr>
            <w:tcW w:w="6083"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rFonts w:ascii="Times New Roman" w:hAnsi="Times New Roman"/>
                <w:sz w:val="21"/>
                <w:szCs w:val="21"/>
              </w:rPr>
            </w:pPr>
            <w:r>
              <w:rPr>
                <w:rFonts w:ascii="Times New Roman" w:hAnsi="Times New Roman"/>
                <w:sz w:val="21"/>
                <w:szCs w:val="21"/>
              </w:rPr>
              <w:t>α</w:t>
            </w:r>
            <w:r>
              <w:rPr>
                <w:rFonts w:hint="eastAsia" w:ascii="Times New Roman" w:hAnsi="Times New Roman"/>
                <w:sz w:val="21"/>
                <w:szCs w:val="21"/>
              </w:rPr>
              <w:t>*P1+(1-</w:t>
            </w:r>
            <w:r>
              <w:rPr>
                <w:rFonts w:ascii="Times New Roman" w:hAnsi="Times New Roman"/>
                <w:sz w:val="21"/>
                <w:szCs w:val="21"/>
              </w:rPr>
              <w:t>α</w:t>
            </w:r>
            <w:r>
              <w:rPr>
                <w:rFonts w:hint="eastAsia" w:ascii="Times New Roman" w:hAnsi="Times New Roman"/>
                <w:sz w:val="21"/>
                <w:szCs w:val="21"/>
              </w:rPr>
              <w:t xml:space="preserve">)*P2, wherein P1 is the power for active state, P2 is the power of micro-sleep, </w:t>
            </w:r>
            <w:r>
              <w:rPr>
                <w:rFonts w:ascii="Times New Roman" w:hAnsi="Times New Roman"/>
                <w:sz w:val="21"/>
                <w:szCs w:val="21"/>
              </w:rPr>
              <w:t>α</w:t>
            </w:r>
            <w:r>
              <w:rPr>
                <w:rFonts w:hint="eastAsia" w:ascii="Times New Roman" w:hAnsi="Times New Roman"/>
                <w:sz w:val="21"/>
                <w:szCs w:val="21"/>
              </w:rPr>
              <w:t xml:space="preserve"> is the ratio of active state occupation within a slot.</w:t>
            </w:r>
          </w:p>
        </w:tc>
      </w:tr>
      <w:tr>
        <w:tblPrEx>
          <w:tblCellMar>
            <w:top w:w="0" w:type="dxa"/>
            <w:left w:w="0" w:type="dxa"/>
            <w:bottom w:w="0" w:type="dxa"/>
            <w:right w:w="0" w:type="dxa"/>
          </w:tblCellMar>
        </w:tblPrEx>
        <w:trPr>
          <w:trHeight w:val="330" w:hRule="atLeast"/>
          <w:jc w:val="center"/>
        </w:trPr>
        <w:tc>
          <w:tcPr>
            <w:tcW w:w="29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rFonts w:ascii="Times New Roman" w:hAnsi="Times New Roman"/>
                <w:sz w:val="21"/>
                <w:szCs w:val="21"/>
              </w:rPr>
            </w:pPr>
            <w:r>
              <w:rPr>
                <w:rFonts w:ascii="Times New Roman" w:hAnsi="Times New Roman"/>
                <w:sz w:val="21"/>
                <w:szCs w:val="21"/>
              </w:rPr>
              <w:t>Antenna scaling (DL)</w:t>
            </w:r>
          </w:p>
        </w:tc>
        <w:tc>
          <w:tcPr>
            <w:tcW w:w="6083"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rFonts w:ascii="Times New Roman" w:hAnsi="Times New Roman"/>
                <w:sz w:val="21"/>
                <w:szCs w:val="21"/>
              </w:rPr>
            </w:pPr>
            <w:r>
              <w:rPr>
                <w:rFonts w:ascii="Times New Roman" w:hAnsi="Times New Roman"/>
                <w:sz w:val="21"/>
                <w:szCs w:val="21"/>
              </w:rPr>
              <w:t>0.2+0.</w:t>
            </w:r>
            <w:r>
              <w:rPr>
                <w:rFonts w:hint="eastAsia" w:ascii="Times New Roman" w:hAnsi="Times New Roman"/>
                <w:sz w:val="21"/>
                <w:szCs w:val="21"/>
              </w:rPr>
              <w:t>8</w:t>
            </w:r>
            <w:r>
              <w:rPr>
                <w:rFonts w:ascii="Times New Roman" w:hAnsi="Times New Roman"/>
                <w:sz w:val="21"/>
                <w:szCs w:val="21"/>
              </w:rPr>
              <w:t>*</w:t>
            </w:r>
            <w:r>
              <w:rPr>
                <w:rFonts w:hint="eastAsia" w:ascii="Times New Roman" w:hAnsi="Times New Roman"/>
                <w:sz w:val="21"/>
                <w:szCs w:val="21"/>
              </w:rPr>
              <w:t xml:space="preserve">X, X is the percentage of the </w:t>
            </w:r>
            <w:r>
              <w:rPr>
                <w:rFonts w:ascii="Times New Roman" w:hAnsi="Times New Roman"/>
                <w:sz w:val="21"/>
                <w:szCs w:val="21"/>
              </w:rPr>
              <w:t>active</w:t>
            </w:r>
            <w:r>
              <w:rPr>
                <w:rFonts w:hint="eastAsia" w:ascii="Times New Roman" w:hAnsi="Times New Roman"/>
                <w:sz w:val="21"/>
                <w:szCs w:val="21"/>
              </w:rPr>
              <w:t xml:space="preserve"> downlink TxRU.</w:t>
            </w:r>
          </w:p>
        </w:tc>
      </w:tr>
      <w:tr>
        <w:tblPrEx>
          <w:tblCellMar>
            <w:top w:w="0" w:type="dxa"/>
            <w:left w:w="0" w:type="dxa"/>
            <w:bottom w:w="0" w:type="dxa"/>
            <w:right w:w="0" w:type="dxa"/>
          </w:tblCellMar>
        </w:tblPrEx>
        <w:trPr>
          <w:trHeight w:val="129" w:hRule="atLeast"/>
          <w:jc w:val="center"/>
        </w:trPr>
        <w:tc>
          <w:tcPr>
            <w:tcW w:w="29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rFonts w:ascii="Times New Roman" w:hAnsi="Times New Roman"/>
                <w:sz w:val="21"/>
                <w:szCs w:val="21"/>
              </w:rPr>
            </w:pPr>
            <w:r>
              <w:rPr>
                <w:rFonts w:hint="eastAsia" w:ascii="Times New Roman" w:hAnsi="Times New Roman"/>
                <w:sz w:val="21"/>
                <w:szCs w:val="21"/>
              </w:rPr>
              <w:t>Number of CCs in CA</w:t>
            </w:r>
          </w:p>
        </w:tc>
        <w:tc>
          <w:tcPr>
            <w:tcW w:w="6083"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rFonts w:ascii="Times New Roman" w:hAnsi="Times New Roman"/>
                <w:sz w:val="21"/>
                <w:szCs w:val="21"/>
              </w:rPr>
            </w:pPr>
            <w:r>
              <w:rPr>
                <w:rFonts w:ascii="Times New Roman" w:hAnsi="Times New Roman"/>
                <w:sz w:val="21"/>
                <w:szCs w:val="21"/>
              </w:rPr>
              <w:t>β*(P1+P2) for intra-band CA, β&lt;1;</w:t>
            </w:r>
          </w:p>
          <w:p>
            <w:pPr>
              <w:pStyle w:val="47"/>
              <w:spacing w:before="72" w:beforeLines="30" w:after="72" w:afterLines="30"/>
              <w:rPr>
                <w:rFonts w:ascii="Times New Roman" w:hAnsi="Times New Roman"/>
                <w:sz w:val="21"/>
                <w:szCs w:val="21"/>
              </w:rPr>
            </w:pPr>
            <w:r>
              <w:rPr>
                <w:rFonts w:ascii="Times New Roman" w:hAnsi="Times New Roman"/>
                <w:sz w:val="21"/>
                <w:szCs w:val="21"/>
              </w:rPr>
              <w:t>(P1+P2) for inter-band CA;</w:t>
            </w:r>
          </w:p>
          <w:p>
            <w:pPr>
              <w:pStyle w:val="47"/>
              <w:spacing w:before="72" w:beforeLines="30" w:after="72" w:afterLines="30"/>
              <w:rPr>
                <w:rFonts w:ascii="Times New Roman" w:hAnsi="Times New Roman"/>
                <w:sz w:val="21"/>
                <w:szCs w:val="21"/>
              </w:rPr>
            </w:pPr>
            <w:r>
              <w:rPr>
                <w:rFonts w:ascii="Times New Roman" w:hAnsi="Times New Roman"/>
                <w:sz w:val="21"/>
                <w:szCs w:val="21"/>
              </w:rPr>
              <w:t xml:space="preserve">wherein the P1 is the power consumption of cell </w:t>
            </w:r>
            <w:r>
              <w:rPr>
                <w:rFonts w:hint="eastAsia" w:ascii="Times New Roman" w:hAnsi="Times New Roman"/>
                <w:sz w:val="21"/>
                <w:szCs w:val="21"/>
              </w:rPr>
              <w:t>#</w:t>
            </w:r>
            <w:r>
              <w:rPr>
                <w:rFonts w:ascii="Times New Roman" w:hAnsi="Times New Roman"/>
                <w:sz w:val="21"/>
                <w:szCs w:val="21"/>
              </w:rPr>
              <w:t xml:space="preserve">1, the P2 is the power consumption of cell </w:t>
            </w:r>
            <w:r>
              <w:rPr>
                <w:rFonts w:hint="eastAsia" w:ascii="Times New Roman" w:hAnsi="Times New Roman"/>
                <w:sz w:val="21"/>
                <w:szCs w:val="21"/>
              </w:rPr>
              <w:t>#</w:t>
            </w:r>
            <w:r>
              <w:rPr>
                <w:rFonts w:ascii="Times New Roman" w:hAnsi="Times New Roman"/>
                <w:sz w:val="21"/>
                <w:szCs w:val="21"/>
              </w:rPr>
              <w:t>2.</w:t>
            </w:r>
          </w:p>
        </w:tc>
      </w:tr>
      <w:tr>
        <w:tblPrEx>
          <w:tblCellMar>
            <w:top w:w="0" w:type="dxa"/>
            <w:left w:w="0" w:type="dxa"/>
            <w:bottom w:w="0" w:type="dxa"/>
            <w:right w:w="0" w:type="dxa"/>
          </w:tblCellMar>
        </w:tblPrEx>
        <w:trPr>
          <w:trHeight w:val="377" w:hRule="atLeast"/>
          <w:jc w:val="center"/>
        </w:trPr>
        <w:tc>
          <w:tcPr>
            <w:tcW w:w="29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rFonts w:ascii="Times New Roman" w:hAnsi="Times New Roman"/>
                <w:sz w:val="21"/>
                <w:szCs w:val="21"/>
              </w:rPr>
            </w:pPr>
            <w:r>
              <w:rPr>
                <w:rFonts w:ascii="Times New Roman" w:hAnsi="Times New Roman"/>
                <w:sz w:val="21"/>
                <w:szCs w:val="21"/>
              </w:rPr>
              <w:t>Number of TRPs</w:t>
            </w:r>
          </w:p>
        </w:tc>
        <w:tc>
          <w:tcPr>
            <w:tcW w:w="6083"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rFonts w:ascii="Times New Roman" w:hAnsi="Times New Roman"/>
                <w:sz w:val="21"/>
                <w:szCs w:val="21"/>
              </w:rPr>
            </w:pPr>
            <w:r>
              <w:rPr>
                <w:rFonts w:ascii="Times New Roman" w:hAnsi="Times New Roman"/>
                <w:sz w:val="21"/>
                <w:szCs w:val="21"/>
              </w:rPr>
              <w:t>γ*(P1+P2) , γ</w:t>
            </w:r>
            <w:r>
              <w:rPr>
                <w:rFonts w:hint="eastAsia" w:ascii="Times New Roman" w:hAnsi="Times New Roman"/>
                <w:sz w:val="21"/>
                <w:szCs w:val="21"/>
              </w:rPr>
              <w:t xml:space="preserve"> </w:t>
            </w:r>
            <w:r>
              <w:rPr>
                <w:rFonts w:ascii="Times New Roman" w:hAnsi="Times New Roman"/>
                <w:sz w:val="21"/>
                <w:szCs w:val="21"/>
              </w:rPr>
              <w:t>&lt;1;</w:t>
            </w:r>
          </w:p>
        </w:tc>
      </w:tr>
      <w:tr>
        <w:tblPrEx>
          <w:tblCellMar>
            <w:top w:w="0" w:type="dxa"/>
            <w:left w:w="0" w:type="dxa"/>
            <w:bottom w:w="0" w:type="dxa"/>
            <w:right w:w="0" w:type="dxa"/>
          </w:tblCellMar>
        </w:tblPrEx>
        <w:trPr>
          <w:trHeight w:val="377" w:hRule="atLeast"/>
          <w:jc w:val="center"/>
        </w:trPr>
        <w:tc>
          <w:tcPr>
            <w:tcW w:w="29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rFonts w:ascii="Times New Roman" w:hAnsi="Times New Roman"/>
                <w:sz w:val="21"/>
                <w:szCs w:val="21"/>
              </w:rPr>
            </w:pPr>
            <w:r>
              <w:rPr>
                <w:rFonts w:hint="eastAsia" w:ascii="Times New Roman" w:hAnsi="Times New Roman"/>
                <w:sz w:val="21"/>
                <w:szCs w:val="21"/>
              </w:rPr>
              <w:t>PSD</w:t>
            </w:r>
          </w:p>
        </w:tc>
        <w:tc>
          <w:tcPr>
            <w:tcW w:w="6083"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rFonts w:ascii="Times New Roman" w:hAnsi="Times New Roman"/>
                <w:sz w:val="21"/>
                <w:szCs w:val="21"/>
              </w:rPr>
            </w:pPr>
            <w:r>
              <w:rPr>
                <w:rFonts w:hint="eastAsia" w:ascii="Times New Roman" w:hAnsi="Times New Roman"/>
                <w:position w:val="-6"/>
                <w:sz w:val="21"/>
                <w:szCs w:val="21"/>
              </w:rPr>
              <w:object>
                <v:shape id="_x0000_i1029" o:spt="75" type="#_x0000_t75" style="height:13.75pt;width:63.25pt;" o:ole="t" filled="f" o:preferrelative="t" stroked="f" coordsize="21600,21600">
                  <v:path/>
                  <v:fill on="f" focussize="0,0"/>
                  <v:stroke on="f" joinstyle="miter"/>
                  <v:imagedata r:id="rId22" o:title=""/>
                  <o:lock v:ext="edit" aspectratio="t"/>
                  <w10:wrap type="none"/>
                  <w10:anchorlock/>
                </v:shape>
                <o:OLEObject Type="Embed" ProgID="Equation.3" ShapeID="_x0000_i1029" DrawAspect="Content" ObjectID="_1468075729" r:id="rId21">
                  <o:LockedField>false</o:LockedField>
                </o:OLEObject>
              </w:object>
            </w:r>
            <w:r>
              <w:rPr>
                <w:rFonts w:hint="eastAsia" w:ascii="Times New Roman" w:hAnsi="Times New Roman"/>
                <w:sz w:val="21"/>
                <w:szCs w:val="21"/>
              </w:rPr>
              <w:t xml:space="preserve">, wherein </w:t>
            </w:r>
            <w:r>
              <w:rPr>
                <w:rFonts w:ascii="Times New Roman" w:hAnsi="Times New Roman"/>
                <w:sz w:val="21"/>
                <w:szCs w:val="21"/>
              </w:rPr>
              <w:t xml:space="preserve">X </w:t>
            </w:r>
            <w:r>
              <w:rPr>
                <w:rFonts w:hint="eastAsia" w:ascii="Times New Roman" w:hAnsi="Times New Roman"/>
                <w:sz w:val="21"/>
                <w:szCs w:val="21"/>
              </w:rPr>
              <w:t>is the ratio between applied PSD and the max PSD based on reference configuration</w:t>
            </w:r>
          </w:p>
        </w:tc>
      </w:tr>
      <w:tr>
        <w:tblPrEx>
          <w:tblCellMar>
            <w:top w:w="0" w:type="dxa"/>
            <w:left w:w="0" w:type="dxa"/>
            <w:bottom w:w="0" w:type="dxa"/>
            <w:right w:w="0" w:type="dxa"/>
          </w:tblCellMar>
        </w:tblPrEx>
        <w:trPr>
          <w:trHeight w:val="90" w:hRule="atLeast"/>
          <w:jc w:val="center"/>
        </w:trPr>
        <w:tc>
          <w:tcPr>
            <w:tcW w:w="29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rFonts w:ascii="Times New Roman" w:hAnsi="Times New Roman"/>
                <w:sz w:val="21"/>
                <w:szCs w:val="21"/>
              </w:rPr>
            </w:pPr>
            <w:r>
              <w:rPr>
                <w:rFonts w:hint="eastAsia" w:ascii="Times New Roman" w:hAnsi="Times New Roman"/>
                <w:sz w:val="21"/>
                <w:szCs w:val="21"/>
              </w:rPr>
              <w:t>S</w:t>
            </w:r>
            <w:r>
              <w:rPr>
                <w:rFonts w:ascii="Times New Roman" w:hAnsi="Times New Roman"/>
                <w:sz w:val="21"/>
                <w:szCs w:val="21"/>
              </w:rPr>
              <w:t xml:space="preserve">caling </w:t>
            </w:r>
            <w:r>
              <w:rPr>
                <w:rFonts w:hint="eastAsia" w:ascii="Times New Roman" w:hAnsi="Times New Roman"/>
                <w:sz w:val="21"/>
                <w:szCs w:val="21"/>
              </w:rPr>
              <w:t xml:space="preserve">for </w:t>
            </w:r>
            <w:r>
              <w:rPr>
                <w:rFonts w:ascii="Times New Roman" w:hAnsi="Times New Roman"/>
                <w:sz w:val="21"/>
                <w:szCs w:val="21"/>
              </w:rPr>
              <w:t>UL</w:t>
            </w:r>
            <w:r>
              <w:rPr>
                <w:rFonts w:hint="eastAsia" w:ascii="Times New Roman" w:hAnsi="Times New Roman"/>
                <w:sz w:val="21"/>
                <w:szCs w:val="21"/>
              </w:rPr>
              <w:t xml:space="preserve"> reception</w:t>
            </w:r>
          </w:p>
        </w:tc>
        <w:tc>
          <w:tcPr>
            <w:tcW w:w="6083"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sz w:val="21"/>
                <w:szCs w:val="21"/>
              </w:rPr>
            </w:pPr>
            <w:bookmarkStart w:id="37" w:name="_Toc22841"/>
            <w:r>
              <w:rPr>
                <w:rFonts w:ascii="Times New Roman" w:hAnsi="Times New Roman"/>
                <w:position w:val="-6"/>
                <w:sz w:val="21"/>
                <w:szCs w:val="21"/>
              </w:rPr>
              <w:t>No scaling.</w:t>
            </w:r>
            <w:bookmarkEnd w:id="37"/>
          </w:p>
        </w:tc>
      </w:tr>
      <w:tr>
        <w:tblPrEx>
          <w:tblCellMar>
            <w:top w:w="0" w:type="dxa"/>
            <w:left w:w="0" w:type="dxa"/>
            <w:bottom w:w="0" w:type="dxa"/>
            <w:right w:w="0" w:type="dxa"/>
          </w:tblCellMar>
        </w:tblPrEx>
        <w:trPr>
          <w:trHeight w:val="90" w:hRule="atLeast"/>
          <w:jc w:val="center"/>
        </w:trPr>
        <w:tc>
          <w:tcPr>
            <w:tcW w:w="9039" w:type="dxa"/>
            <w:gridSpan w:val="2"/>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47"/>
              <w:spacing w:before="72" w:beforeLines="30" w:after="72" w:afterLines="30"/>
              <w:rPr>
                <w:b/>
                <w:bCs/>
                <w:i/>
                <w:iCs/>
                <w:sz w:val="21"/>
                <w:szCs w:val="21"/>
              </w:rPr>
            </w:pPr>
            <w:bookmarkStart w:id="38" w:name="_Toc14356"/>
            <w:r>
              <w:rPr>
                <w:rFonts w:ascii="Times New Roman" w:hAnsi="Times New Roman"/>
                <w:position w:val="-6"/>
                <w:sz w:val="21"/>
                <w:szCs w:val="21"/>
              </w:rPr>
              <w:t>Above scaling is applicable for FR1 only.</w:t>
            </w:r>
            <w:bookmarkEnd w:id="38"/>
          </w:p>
        </w:tc>
      </w:tr>
    </w:tbl>
    <w:p>
      <w:pPr>
        <w:spacing w:before="120" w:after="120" w:line="260" w:lineRule="auto"/>
        <w:rPr>
          <w:szCs w:val="22"/>
        </w:rPr>
      </w:pPr>
    </w:p>
    <w:p>
      <w:pPr>
        <w:pStyle w:val="2"/>
        <w:spacing w:before="120" w:after="120"/>
        <w:ind w:left="0"/>
        <w:rPr>
          <w:rFonts w:ascii="Times New Roman" w:hAnsi="Times New Roman"/>
          <w:b/>
          <w:bCs/>
          <w:sz w:val="28"/>
          <w:szCs w:val="28"/>
        </w:rPr>
      </w:pPr>
      <w:r>
        <w:rPr>
          <w:rFonts w:hint="eastAsia" w:ascii="Times New Roman" w:hAnsi="Times New Roman" w:eastAsia="宋体"/>
          <w:b/>
          <w:sz w:val="28"/>
          <w:szCs w:val="28"/>
        </w:rPr>
        <w:t>Evaluation methodology</w:t>
      </w:r>
    </w:p>
    <w:p>
      <w:pPr>
        <w:spacing w:before="120" w:after="120"/>
      </w:pPr>
      <w:r>
        <w:rPr>
          <w:rFonts w:hint="eastAsia"/>
          <w:szCs w:val="21"/>
        </w:rPr>
        <w:t>T</w:t>
      </w:r>
      <w:r>
        <w:rPr>
          <w:rFonts w:hint="eastAsia"/>
        </w:rPr>
        <w:t xml:space="preserve">he </w:t>
      </w:r>
      <w:r>
        <w:t xml:space="preserve">evaluation </w:t>
      </w:r>
      <w:r>
        <w:rPr>
          <w:rFonts w:hint="eastAsia"/>
        </w:rPr>
        <w:t>methodology</w:t>
      </w:r>
      <w:r>
        <w:t xml:space="preserve"> </w:t>
      </w:r>
      <w:r>
        <w:rPr>
          <w:rFonts w:hint="eastAsia"/>
        </w:rPr>
        <w:t>are</w:t>
      </w:r>
      <w:r>
        <w:t xml:space="preserve"> </w:t>
      </w:r>
      <w:r>
        <w:rPr>
          <w:rFonts w:hint="eastAsia"/>
        </w:rPr>
        <w:t xml:space="preserve">important </w:t>
      </w:r>
      <w:r>
        <w:t xml:space="preserve">for the </w:t>
      </w:r>
      <w:r>
        <w:rPr>
          <w:rFonts w:hint="eastAsia"/>
        </w:rPr>
        <w:t>evaluat</w:t>
      </w:r>
      <w:r>
        <w:t>ion of</w:t>
      </w:r>
      <w:r>
        <w:rPr>
          <w:rFonts w:hint="eastAsia"/>
        </w:rPr>
        <w:t xml:space="preserve"> performance gains and identif</w:t>
      </w:r>
      <w:r>
        <w:t>ication of</w:t>
      </w:r>
      <w:r>
        <w:rPr>
          <w:rFonts w:hint="eastAsia"/>
        </w:rPr>
        <w:t xml:space="preserve"> efficient network energy saving techniques</w:t>
      </w:r>
      <w:r>
        <w:t xml:space="preserve">. </w:t>
      </w:r>
      <w:r>
        <w:rPr>
          <w:rFonts w:hint="eastAsia"/>
        </w:rPr>
        <w:t xml:space="preserve">In this section, the evaluation methodology, such as the traffic load, the evaluation assumptions for network energy saving are discussed. </w:t>
      </w:r>
    </w:p>
    <w:p>
      <w:pPr>
        <w:numPr>
          <w:ilvl w:val="0"/>
          <w:numId w:val="14"/>
        </w:numPr>
        <w:spacing w:before="120" w:after="120"/>
        <w:rPr>
          <w:b/>
        </w:rPr>
      </w:pPr>
      <w:r>
        <w:rPr>
          <w:rFonts w:hint="eastAsia"/>
          <w:b/>
        </w:rPr>
        <w:t xml:space="preserve">Traffic load </w:t>
      </w:r>
    </w:p>
    <w:p>
      <w:pPr>
        <w:spacing w:before="120" w:after="120"/>
        <w:rPr>
          <w:bCs/>
          <w:szCs w:val="21"/>
        </w:rPr>
      </w:pPr>
      <w:r>
        <w:rPr>
          <w:rFonts w:hint="eastAsia"/>
          <w:szCs w:val="21"/>
        </w:rPr>
        <w:t>According to the SID, t</w:t>
      </w:r>
      <w:r>
        <w:rPr>
          <w:bCs/>
        </w:rPr>
        <w:t>his study should prioritize idle/empty and low/medium load scenarios, while the definition of the load needs further discussion. According to [</w:t>
      </w:r>
      <w:r>
        <w:rPr>
          <w:rFonts w:hint="eastAsia"/>
          <w:bCs/>
        </w:rPr>
        <w:t>3</w:t>
      </w:r>
      <w:r>
        <w:rPr>
          <w:bCs/>
        </w:rPr>
        <w:t xml:space="preserve">], </w:t>
      </w:r>
      <w:r>
        <w:rPr>
          <w:rFonts w:hint="eastAsia"/>
          <w:bCs/>
        </w:rPr>
        <w:t>the</w:t>
      </w:r>
      <w:r>
        <w:rPr>
          <w:bCs/>
        </w:rPr>
        <w:t xml:space="preserve"> different traffic loads are defined by PRB utilization. To be more specific, the medium load is defined as </w:t>
      </w:r>
      <w:r>
        <w:rPr>
          <w:rFonts w:hint="eastAsia"/>
          <w:bCs/>
        </w:rPr>
        <w:t xml:space="preserve">about </w:t>
      </w:r>
      <w:r>
        <w:t xml:space="preserve">30 % PRB </w:t>
      </w:r>
      <w:r>
        <w:rPr>
          <w:bCs/>
        </w:rPr>
        <w:t xml:space="preserve">utilization, while the busy hour is defined as </w:t>
      </w:r>
      <w:r>
        <w:rPr>
          <w:rFonts w:hint="eastAsia"/>
          <w:bCs/>
        </w:rPr>
        <w:t xml:space="preserve">more than </w:t>
      </w:r>
      <w:r>
        <w:t xml:space="preserve">50 % PRB </w:t>
      </w:r>
      <w:r>
        <w:rPr>
          <w:bCs/>
        </w:rPr>
        <w:t xml:space="preserve">utilization. We think the similar definition can be reused. For the high load with </w:t>
      </w:r>
      <w:r>
        <w:rPr>
          <w:rFonts w:hint="eastAsia"/>
          <w:bCs/>
        </w:rPr>
        <w:t xml:space="preserve">more than </w:t>
      </w:r>
      <w:r>
        <w:rPr>
          <w:rFonts w:hint="eastAsia"/>
        </w:rPr>
        <w:t>5</w:t>
      </w:r>
      <w:r>
        <w:t xml:space="preserve">0 % PRB </w:t>
      </w:r>
      <w:r>
        <w:rPr>
          <w:bCs/>
        </w:rPr>
        <w:t xml:space="preserve">utilization, we think the impact of network energy saving techniques can be also evaluated with low priority </w:t>
      </w:r>
      <w:r>
        <w:rPr>
          <w:bCs/>
          <w:szCs w:val="21"/>
        </w:rPr>
        <w:t>due to the workload.</w:t>
      </w:r>
      <w:r>
        <w:rPr>
          <w:rFonts w:hint="eastAsia"/>
          <w:bCs/>
          <w:szCs w:val="21"/>
        </w:rPr>
        <w:t xml:space="preserve"> In addition, it</w:t>
      </w:r>
      <w:r>
        <w:rPr>
          <w:bCs/>
          <w:szCs w:val="21"/>
        </w:rPr>
        <w:t>’</w:t>
      </w:r>
      <w:r>
        <w:rPr>
          <w:rFonts w:hint="eastAsia"/>
          <w:bCs/>
          <w:szCs w:val="21"/>
        </w:rPr>
        <w:t>s note</w:t>
      </w:r>
      <w:r>
        <w:rPr>
          <w:bCs/>
          <w:szCs w:val="21"/>
        </w:rPr>
        <w:t>d</w:t>
      </w:r>
      <w:r>
        <w:rPr>
          <w:rFonts w:hint="eastAsia"/>
          <w:bCs/>
          <w:szCs w:val="21"/>
        </w:rPr>
        <w:t xml:space="preserve"> that the SSBs and SIBs are transmitted periodically even if there is no traffic load</w:t>
      </w:r>
      <w:r>
        <w:rPr>
          <w:bCs/>
          <w:szCs w:val="21"/>
        </w:rPr>
        <w:t>.</w:t>
      </w:r>
      <w:r>
        <w:rPr>
          <w:rFonts w:hint="eastAsia"/>
          <w:bCs/>
          <w:szCs w:val="21"/>
        </w:rPr>
        <w:t xml:space="preserve"> </w:t>
      </w:r>
      <w:r>
        <w:rPr>
          <w:bCs/>
          <w:szCs w:val="21"/>
        </w:rPr>
        <w:t>T</w:t>
      </w:r>
      <w:r>
        <w:rPr>
          <w:rFonts w:hint="eastAsia"/>
          <w:bCs/>
          <w:szCs w:val="21"/>
        </w:rPr>
        <w:t xml:space="preserve">herefore, when calculating the PRB utilization, the </w:t>
      </w:r>
      <w:r>
        <w:rPr>
          <w:bCs/>
          <w:szCs w:val="21"/>
        </w:rPr>
        <w:t>resources</w:t>
      </w:r>
      <w:r>
        <w:rPr>
          <w:rFonts w:hint="eastAsia"/>
          <w:bCs/>
          <w:szCs w:val="21"/>
        </w:rPr>
        <w:t xml:space="preserve"> occupied by SSBs and SIBs are not </w:t>
      </w:r>
      <w:r>
        <w:rPr>
          <w:bCs/>
          <w:szCs w:val="21"/>
        </w:rPr>
        <w:t>accounted</w:t>
      </w:r>
      <w:r>
        <w:rPr>
          <w:rFonts w:hint="eastAsia"/>
          <w:bCs/>
          <w:szCs w:val="21"/>
        </w:rPr>
        <w:t xml:space="preserve">. </w:t>
      </w:r>
    </w:p>
    <w:p>
      <w:pPr>
        <w:pStyle w:val="28"/>
        <w:spacing w:before="120" w:after="120"/>
        <w:rPr>
          <w:i w:val="0"/>
          <w:sz w:val="21"/>
          <w:szCs w:val="21"/>
        </w:rPr>
      </w:pPr>
      <w:bookmarkStart w:id="39" w:name="_Toc23752"/>
      <w:bookmarkStart w:id="40" w:name="_Toc31386"/>
      <w:bookmarkStart w:id="41" w:name="_Toc12851"/>
      <w:bookmarkStart w:id="42" w:name="_Toc7162"/>
      <w:bookmarkStart w:id="43" w:name="_Toc19699"/>
      <w:bookmarkStart w:id="44" w:name="_Toc18384"/>
      <w:r>
        <w:rPr>
          <w:i w:val="0"/>
          <w:iCs w:val="0"/>
          <w:sz w:val="21"/>
          <w:szCs w:val="21"/>
          <w:lang w:val="en-US" w:eastAsia="zh-CN"/>
        </w:rPr>
        <w:t>The traffic load can be defined as following</w:t>
      </w:r>
      <w:bookmarkEnd w:id="39"/>
      <w:bookmarkEnd w:id="40"/>
      <w:bookmarkEnd w:id="41"/>
      <w:bookmarkEnd w:id="42"/>
      <w:bookmarkEnd w:id="43"/>
      <w:bookmarkEnd w:id="44"/>
    </w:p>
    <w:p>
      <w:pPr>
        <w:pStyle w:val="28"/>
        <w:numPr>
          <w:ilvl w:val="0"/>
          <w:numId w:val="15"/>
        </w:numPr>
        <w:tabs>
          <w:tab w:val="clear" w:pos="420"/>
        </w:tabs>
        <w:spacing w:before="120" w:after="120"/>
        <w:rPr>
          <w:bCs w:val="0"/>
          <w:i w:val="0"/>
          <w:sz w:val="21"/>
          <w:szCs w:val="21"/>
        </w:rPr>
      </w:pPr>
      <w:bookmarkStart w:id="45" w:name="_Toc15662"/>
      <w:bookmarkStart w:id="46" w:name="_Toc17912"/>
      <w:bookmarkStart w:id="47" w:name="_Toc4813"/>
      <w:bookmarkStart w:id="48" w:name="_Toc3301"/>
      <w:bookmarkStart w:id="49" w:name="_Toc21852"/>
      <w:bookmarkStart w:id="50" w:name="_Toc29694"/>
      <w:r>
        <w:rPr>
          <w:bCs w:val="0"/>
          <w:i w:val="0"/>
          <w:sz w:val="21"/>
          <w:szCs w:val="21"/>
        </w:rPr>
        <w:t>idle/ empty load: only common signal/channel, such as SSB and SIB is transmitted in DL;</w:t>
      </w:r>
      <w:bookmarkEnd w:id="45"/>
      <w:bookmarkEnd w:id="46"/>
      <w:bookmarkEnd w:id="47"/>
      <w:bookmarkEnd w:id="48"/>
      <w:bookmarkEnd w:id="49"/>
      <w:bookmarkEnd w:id="50"/>
    </w:p>
    <w:p>
      <w:pPr>
        <w:pStyle w:val="28"/>
        <w:numPr>
          <w:ilvl w:val="0"/>
          <w:numId w:val="15"/>
        </w:numPr>
        <w:tabs>
          <w:tab w:val="clear" w:pos="420"/>
        </w:tabs>
        <w:spacing w:before="120" w:after="120"/>
        <w:rPr>
          <w:i w:val="0"/>
          <w:sz w:val="21"/>
          <w:szCs w:val="21"/>
        </w:rPr>
      </w:pPr>
      <w:bookmarkStart w:id="51" w:name="_Toc27295"/>
      <w:bookmarkStart w:id="52" w:name="_Toc19247"/>
      <w:bookmarkStart w:id="53" w:name="_Toc13623"/>
      <w:bookmarkStart w:id="54" w:name="_Toc12248"/>
      <w:bookmarkStart w:id="55" w:name="_Toc19614"/>
      <w:bookmarkStart w:id="56" w:name="_Toc3746"/>
      <w:r>
        <w:rPr>
          <w:bCs w:val="0"/>
          <w:i w:val="0"/>
          <w:sz w:val="21"/>
          <w:szCs w:val="21"/>
        </w:rPr>
        <w:t xml:space="preserve">low load: </w:t>
      </w:r>
      <w:r>
        <w:rPr>
          <w:rFonts w:hint="eastAsia"/>
          <w:bCs w:val="0"/>
          <w:i w:val="0"/>
          <w:sz w:val="21"/>
          <w:szCs w:val="21"/>
          <w:lang w:val="en-US" w:eastAsia="zh-CN"/>
        </w:rPr>
        <w:t>&lt;20</w:t>
      </w:r>
      <w:r>
        <w:rPr>
          <w:bCs w:val="0"/>
          <w:i w:val="0"/>
          <w:sz w:val="21"/>
          <w:szCs w:val="21"/>
        </w:rPr>
        <w:t>%</w:t>
      </w:r>
      <w:r>
        <w:rPr>
          <w:i w:val="0"/>
          <w:sz w:val="21"/>
          <w:szCs w:val="21"/>
        </w:rPr>
        <w:t xml:space="preserve"> PRB </w:t>
      </w:r>
      <w:r>
        <w:rPr>
          <w:bCs w:val="0"/>
          <w:i w:val="0"/>
          <w:sz w:val="21"/>
          <w:szCs w:val="21"/>
        </w:rPr>
        <w:t>utilization;</w:t>
      </w:r>
      <w:bookmarkEnd w:id="51"/>
      <w:bookmarkEnd w:id="52"/>
      <w:bookmarkEnd w:id="53"/>
      <w:bookmarkEnd w:id="54"/>
      <w:bookmarkEnd w:id="55"/>
      <w:bookmarkEnd w:id="56"/>
    </w:p>
    <w:p>
      <w:pPr>
        <w:pStyle w:val="28"/>
        <w:numPr>
          <w:ilvl w:val="0"/>
          <w:numId w:val="15"/>
        </w:numPr>
        <w:tabs>
          <w:tab w:val="clear" w:pos="420"/>
        </w:tabs>
        <w:spacing w:before="120" w:after="120"/>
        <w:rPr>
          <w:bCs w:val="0"/>
          <w:i w:val="0"/>
          <w:sz w:val="21"/>
          <w:szCs w:val="21"/>
        </w:rPr>
      </w:pPr>
      <w:bookmarkStart w:id="57" w:name="_Toc13212"/>
      <w:bookmarkStart w:id="58" w:name="_Toc28650"/>
      <w:bookmarkStart w:id="59" w:name="_Toc26167"/>
      <w:bookmarkStart w:id="60" w:name="_Toc6206"/>
      <w:bookmarkStart w:id="61" w:name="_Toc31400"/>
      <w:bookmarkStart w:id="62" w:name="_Toc4662"/>
      <w:r>
        <w:rPr>
          <w:bCs w:val="0"/>
          <w:i w:val="0"/>
          <w:sz w:val="21"/>
          <w:szCs w:val="21"/>
        </w:rPr>
        <w:t>Medium load: 20%~</w:t>
      </w:r>
      <w:r>
        <w:rPr>
          <w:rFonts w:hint="eastAsia"/>
          <w:i w:val="0"/>
          <w:sz w:val="21"/>
          <w:szCs w:val="21"/>
          <w:lang w:val="en-US" w:eastAsia="zh-CN"/>
        </w:rPr>
        <w:t>50</w:t>
      </w:r>
      <w:r>
        <w:rPr>
          <w:i w:val="0"/>
          <w:sz w:val="21"/>
          <w:szCs w:val="21"/>
        </w:rPr>
        <w:t xml:space="preserve"> % PRB </w:t>
      </w:r>
      <w:r>
        <w:rPr>
          <w:bCs w:val="0"/>
          <w:i w:val="0"/>
          <w:sz w:val="21"/>
          <w:szCs w:val="21"/>
        </w:rPr>
        <w:t>utilization</w:t>
      </w:r>
      <w:r>
        <w:rPr>
          <w:bCs w:val="0"/>
          <w:i w:val="0"/>
          <w:sz w:val="21"/>
          <w:szCs w:val="21"/>
          <w:lang w:val="en-US" w:eastAsia="zh-CN"/>
        </w:rPr>
        <w:t>.</w:t>
      </w:r>
      <w:bookmarkEnd w:id="57"/>
      <w:bookmarkEnd w:id="58"/>
      <w:bookmarkEnd w:id="59"/>
      <w:bookmarkEnd w:id="60"/>
      <w:bookmarkEnd w:id="61"/>
      <w:bookmarkEnd w:id="62"/>
    </w:p>
    <w:p>
      <w:pPr>
        <w:pStyle w:val="28"/>
        <w:spacing w:before="120" w:after="120"/>
        <w:rPr>
          <w:sz w:val="21"/>
          <w:szCs w:val="21"/>
        </w:rPr>
      </w:pPr>
      <w:bookmarkStart w:id="63" w:name="_Toc21281"/>
      <w:r>
        <w:rPr>
          <w:i w:val="0"/>
          <w:iCs w:val="0"/>
          <w:sz w:val="21"/>
          <w:szCs w:val="21"/>
          <w:lang w:val="en-US" w:eastAsia="zh-CN"/>
        </w:rPr>
        <w:t>The resources occupied by SSBs and SIBs are not accounted in the PRB utilization.</w:t>
      </w:r>
      <w:bookmarkEnd w:id="63"/>
    </w:p>
    <w:p>
      <w:pPr>
        <w:spacing w:before="120" w:after="120"/>
        <w:rPr>
          <w:szCs w:val="21"/>
        </w:rPr>
      </w:pPr>
      <w:r>
        <w:rPr>
          <w:rFonts w:hint="eastAsia"/>
          <w:szCs w:val="21"/>
        </w:rPr>
        <w:t>What</w:t>
      </w:r>
      <w:r>
        <w:rPr>
          <w:szCs w:val="21"/>
        </w:rPr>
        <w:t>’</w:t>
      </w:r>
      <w:r>
        <w:rPr>
          <w:rFonts w:hint="eastAsia"/>
          <w:szCs w:val="21"/>
        </w:rPr>
        <w:t xml:space="preserve">s more, as agreed in last meeting, FTP3 (0.5MB as packet size, 200ms as mean inter-arrival time), FTP3 IM (0.1MB as packet size, 2s as mean inter-arrival time) and VOIP can be considered in the evaluation. For the UL transmissions, these two FTP3 </w:t>
      </w:r>
      <w:r>
        <w:rPr>
          <w:szCs w:val="21"/>
        </w:rPr>
        <w:t>traffic can be</w:t>
      </w:r>
      <w:r>
        <w:rPr>
          <w:rFonts w:hint="eastAsia"/>
          <w:szCs w:val="21"/>
        </w:rPr>
        <w:t xml:space="preserve"> used to simulate UL traffic. </w:t>
      </w:r>
    </w:p>
    <w:p>
      <w:pPr>
        <w:pStyle w:val="28"/>
        <w:spacing w:before="120" w:after="120"/>
        <w:rPr>
          <w:sz w:val="21"/>
          <w:szCs w:val="21"/>
        </w:rPr>
      </w:pPr>
      <w:bookmarkStart w:id="64" w:name="_Toc20160"/>
      <w:r>
        <w:rPr>
          <w:rFonts w:hint="eastAsia"/>
          <w:i w:val="0"/>
          <w:sz w:val="21"/>
          <w:szCs w:val="21"/>
        </w:rPr>
        <w:t>FTP3 (0.5MB as packet size, 200ms as mean inter-arrival time)</w:t>
      </w:r>
      <w:r>
        <w:rPr>
          <w:rFonts w:hint="eastAsia"/>
          <w:i w:val="0"/>
          <w:sz w:val="21"/>
          <w:szCs w:val="21"/>
          <w:lang w:val="en-US" w:eastAsia="zh-CN"/>
        </w:rPr>
        <w:t xml:space="preserve"> and </w:t>
      </w:r>
      <w:r>
        <w:rPr>
          <w:rFonts w:hint="eastAsia"/>
          <w:i w:val="0"/>
          <w:sz w:val="21"/>
          <w:szCs w:val="21"/>
        </w:rPr>
        <w:t>FTP3 IM (0.1MB as packet size, 2s as mean inter-arrival time)</w:t>
      </w:r>
      <w:r>
        <w:rPr>
          <w:rFonts w:hint="eastAsia"/>
          <w:i w:val="0"/>
          <w:sz w:val="21"/>
          <w:szCs w:val="21"/>
          <w:lang w:val="en-US" w:eastAsia="zh-CN"/>
        </w:rPr>
        <w:t xml:space="preserve"> </w:t>
      </w:r>
      <w:r>
        <w:rPr>
          <w:i w:val="0"/>
          <w:iCs w:val="0"/>
          <w:sz w:val="21"/>
          <w:szCs w:val="21"/>
          <w:lang w:val="en-US" w:eastAsia="zh-CN"/>
        </w:rPr>
        <w:t>can be used to simulate UL traffic.</w:t>
      </w:r>
      <w:bookmarkEnd w:id="64"/>
      <w:r>
        <w:rPr>
          <w:i w:val="0"/>
          <w:iCs w:val="0"/>
          <w:sz w:val="21"/>
          <w:szCs w:val="21"/>
          <w:lang w:val="en-US" w:eastAsia="zh-CN"/>
        </w:rPr>
        <w:t xml:space="preserve"> </w:t>
      </w:r>
    </w:p>
    <w:p>
      <w:pPr>
        <w:numPr>
          <w:ilvl w:val="0"/>
          <w:numId w:val="14"/>
        </w:numPr>
        <w:spacing w:before="120" w:after="120"/>
        <w:rPr>
          <w:b/>
        </w:rPr>
      </w:pPr>
      <w:r>
        <w:rPr>
          <w:rFonts w:hint="eastAsia"/>
          <w:b/>
        </w:rPr>
        <w:t xml:space="preserve">Evaluation assumptions </w:t>
      </w:r>
    </w:p>
    <w:p>
      <w:pPr>
        <w:spacing w:before="120" w:after="120"/>
      </w:pPr>
      <w:r>
        <w:t>For system level simulation, t</w:t>
      </w:r>
      <w:r>
        <w:rPr>
          <w:rFonts w:hint="eastAsia"/>
        </w:rPr>
        <w:t>he evaluation assumptions</w:t>
      </w:r>
      <w:r>
        <w:t xml:space="preserve"> including the gNB </w:t>
      </w:r>
      <w:r>
        <w:rPr>
          <w:rFonts w:hint="eastAsia"/>
        </w:rPr>
        <w:t xml:space="preserve">and UE </w:t>
      </w:r>
      <w:r>
        <w:t xml:space="preserve">antenna configuration, frequency band, number of layers, </w:t>
      </w:r>
      <w:r>
        <w:rPr>
          <w:rFonts w:hint="eastAsia"/>
        </w:rPr>
        <w:t>slot format</w:t>
      </w:r>
      <w:r>
        <w:t xml:space="preserve">, </w:t>
      </w:r>
      <w:r>
        <w:rPr>
          <w:rFonts w:hint="eastAsia"/>
        </w:rPr>
        <w:t xml:space="preserve">UE distribution, </w:t>
      </w:r>
      <w:r>
        <w:t xml:space="preserve">Tx and </w:t>
      </w:r>
      <w:r>
        <w:rPr>
          <w:rFonts w:hint="eastAsia"/>
        </w:rPr>
        <w:t>Rx power</w:t>
      </w:r>
      <w:r>
        <w:t xml:space="preserve">, </w:t>
      </w:r>
      <w:r>
        <w:rPr>
          <w:rFonts w:hint="eastAsia"/>
        </w:rPr>
        <w:t>etc</w:t>
      </w:r>
      <w:r>
        <w:t>.</w:t>
      </w:r>
      <w:r>
        <w:rPr>
          <w:rFonts w:hint="eastAsia"/>
        </w:rPr>
        <w:t xml:space="preserve"> for UMa scenario based on agreements in RAN1#109e meeting and </w:t>
      </w:r>
      <w:r>
        <w:rPr>
          <w:rFonts w:hint="eastAsia"/>
          <w:bCs/>
        </w:rPr>
        <w:t>TR 38.838</w:t>
      </w:r>
      <w:r>
        <w:rPr>
          <w:bCs/>
        </w:rPr>
        <w:t xml:space="preserve"> [</w:t>
      </w:r>
      <w:r>
        <w:rPr>
          <w:rFonts w:hint="eastAsia"/>
          <w:bCs/>
        </w:rPr>
        <w:t>4</w:t>
      </w:r>
      <w:r>
        <w:rPr>
          <w:bCs/>
        </w:rPr>
        <w:t xml:space="preserve">] and </w:t>
      </w:r>
      <w:r>
        <w:t>TR 38.901 [</w:t>
      </w:r>
      <w:r>
        <w:rPr>
          <w:rFonts w:hint="eastAsia"/>
        </w:rPr>
        <w:t>5</w:t>
      </w:r>
      <w:r>
        <w:t xml:space="preserve">] are shown in Table A1 in appendix. It can be </w:t>
      </w:r>
      <w:r>
        <w:rPr>
          <w:rFonts w:hint="eastAsia"/>
        </w:rPr>
        <w:t xml:space="preserve">considered as a start </w:t>
      </w:r>
      <w:r>
        <w:t>point</w:t>
      </w:r>
      <w:r>
        <w:rPr>
          <w:rFonts w:hint="eastAsia"/>
        </w:rPr>
        <w:t xml:space="preserve"> </w:t>
      </w:r>
      <w:r>
        <w:t>for the system level simulation assumption for network energy savings.</w:t>
      </w:r>
    </w:p>
    <w:p>
      <w:pPr>
        <w:pStyle w:val="28"/>
        <w:spacing w:before="120" w:after="120"/>
        <w:jc w:val="both"/>
        <w:rPr>
          <w:lang w:val="en-US"/>
        </w:rPr>
      </w:pPr>
      <w:bookmarkStart w:id="65" w:name="_Toc3710"/>
      <w:r>
        <w:rPr>
          <w:i w:val="0"/>
          <w:iCs w:val="0"/>
          <w:sz w:val="21"/>
          <w:szCs w:val="21"/>
          <w:lang w:val="en-US" w:eastAsia="zh-CN"/>
        </w:rPr>
        <w:t>The simulation assumption in</w:t>
      </w:r>
      <w:r>
        <w:rPr>
          <w:rFonts w:hint="eastAsia"/>
          <w:i w:val="0"/>
          <w:iCs w:val="0"/>
          <w:sz w:val="21"/>
          <w:szCs w:val="21"/>
          <w:lang w:val="en-US" w:eastAsia="zh-CN"/>
        </w:rPr>
        <w:t xml:space="preserve"> </w:t>
      </w:r>
      <w:r>
        <w:rPr>
          <w:i w:val="0"/>
          <w:sz w:val="21"/>
          <w:szCs w:val="21"/>
        </w:rPr>
        <w:t>Table A1 in appendix can be considered as a start point for the system level simulation assumption for network energy savings.</w:t>
      </w:r>
      <w:bookmarkEnd w:id="65"/>
    </w:p>
    <w:p>
      <w:pPr>
        <w:spacing w:before="120" w:after="120"/>
      </w:pPr>
      <w:r>
        <w:t xml:space="preserve">It is also noticed that in Table A1, </w:t>
      </w:r>
      <w:r>
        <w:rPr>
          <w:rFonts w:hint="eastAsia"/>
        </w:rPr>
        <w:t xml:space="preserve">64TxRU is </w:t>
      </w:r>
      <w:r>
        <w:t>assumed</w:t>
      </w:r>
      <w:r>
        <w:rPr>
          <w:rFonts w:hint="eastAsia"/>
        </w:rPr>
        <w:t xml:space="preserve"> for TDD</w:t>
      </w:r>
      <w:r>
        <w:t>.</w:t>
      </w:r>
      <w:r>
        <w:rPr>
          <w:rFonts w:hint="eastAsia"/>
        </w:rPr>
        <w:t xml:space="preserve"> </w:t>
      </w:r>
      <w:r>
        <w:t xml:space="preserve">For the evaluation of </w:t>
      </w:r>
      <w:r>
        <w:rPr>
          <w:rFonts w:hint="eastAsia"/>
        </w:rPr>
        <w:t xml:space="preserve">network energy saving techniques in spatial domain, other antenna configurations, e.g. 32TxRU, </w:t>
      </w:r>
      <w:r>
        <w:t>can be also considered</w:t>
      </w:r>
      <w:r>
        <w:rPr>
          <w:rFonts w:hint="eastAsia"/>
        </w:rPr>
        <w:t>. And the total DL transmit power should decrease with the decreases of the number of TxRU.</w:t>
      </w:r>
    </w:p>
    <w:p>
      <w:pPr>
        <w:spacing w:before="120" w:after="120"/>
      </w:pPr>
      <w:r>
        <w:rPr>
          <w:rFonts w:hint="eastAsia"/>
        </w:rPr>
        <w:t>F</w:t>
      </w:r>
      <w:r>
        <w:t xml:space="preserve">or simulation assumptions of baseline configuration, </w:t>
      </w:r>
      <w:r>
        <w:rPr>
          <w:rFonts w:hint="eastAsia"/>
        </w:rPr>
        <w:t>Ta</w:t>
      </w:r>
      <w:r>
        <w:t>ble 4 can be considered. For the setting of other channels/signals, it is highly dependent on detailed deployment and implementation. It is challenge to converge to a unified configuration. Therefore, other</w:t>
      </w:r>
      <w:r>
        <w:rPr>
          <w:rFonts w:hint="eastAsia"/>
        </w:rPr>
        <w:t xml:space="preserve"> simulation parameters can be </w:t>
      </w:r>
      <w:r>
        <w:rPr>
          <w:rFonts w:hint="eastAsia"/>
          <w:bCs/>
        </w:rPr>
        <w:t>reported by companies for evaluating different network energy saving techniques</w:t>
      </w:r>
      <w:r>
        <w:rPr>
          <w:rFonts w:hint="eastAsia"/>
        </w:rPr>
        <w:t xml:space="preserve">. </w:t>
      </w:r>
    </w:p>
    <w:p>
      <w:pPr>
        <w:spacing w:before="120" w:after="120"/>
        <w:rPr>
          <w:szCs w:val="21"/>
        </w:rPr>
      </w:pPr>
    </w:p>
    <w:p>
      <w:pPr>
        <w:spacing w:before="120" w:after="120"/>
        <w:jc w:val="center"/>
        <w:rPr>
          <w:szCs w:val="21"/>
        </w:rPr>
      </w:pPr>
      <w:bookmarkStart w:id="66" w:name="_Toc13655"/>
      <w:bookmarkStart w:id="67" w:name="_Toc20771"/>
      <w:r>
        <w:rPr>
          <w:szCs w:val="21"/>
        </w:rPr>
        <w:t>Table 4 Simulation assumption for other configurations</w:t>
      </w:r>
      <w:bookmarkEnd w:id="66"/>
      <w:bookmarkEnd w:id="67"/>
      <w:r>
        <w:rPr>
          <w:rFonts w:hint="eastAsia"/>
          <w:szCs w:val="21"/>
        </w:rPr>
        <w:t xml:space="preserve"> </w:t>
      </w:r>
    </w:p>
    <w:tbl>
      <w:tblPr>
        <w:tblStyle w:val="16"/>
        <w:tblW w:w="9947" w:type="dxa"/>
        <w:jc w:val="center"/>
        <w:tblLayout w:type="autofit"/>
        <w:tblCellMar>
          <w:top w:w="0" w:type="dxa"/>
          <w:left w:w="0" w:type="dxa"/>
          <w:bottom w:w="0" w:type="dxa"/>
          <w:right w:w="0" w:type="dxa"/>
        </w:tblCellMar>
      </w:tblPr>
      <w:tblGrid>
        <w:gridCol w:w="2321"/>
        <w:gridCol w:w="3813"/>
        <w:gridCol w:w="3813"/>
      </w:tblGrid>
      <w:tr>
        <w:tblPrEx>
          <w:tblCellMar>
            <w:top w:w="0" w:type="dxa"/>
            <w:left w:w="0" w:type="dxa"/>
            <w:bottom w:w="0" w:type="dxa"/>
            <w:right w:w="0" w:type="dxa"/>
          </w:tblCellMar>
        </w:tblPrEx>
        <w:trPr>
          <w:trHeight w:val="485" w:hRule="atLeast"/>
          <w:jc w:val="center"/>
        </w:trPr>
        <w:tc>
          <w:tcPr>
            <w:tcW w:w="23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sz w:val="21"/>
                <w:szCs w:val="21"/>
              </w:rPr>
            </w:pPr>
            <w:r>
              <w:rPr>
                <w:rFonts w:ascii="Times New Roman" w:hAnsi="Times New Roman"/>
                <w:sz w:val="21"/>
                <w:szCs w:val="21"/>
              </w:rPr>
              <w:t xml:space="preserve">Configuration </w:t>
            </w:r>
          </w:p>
        </w:tc>
        <w:tc>
          <w:tcPr>
            <w:tcW w:w="7626" w:type="dxa"/>
            <w:gridSpan w:val="2"/>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sz w:val="21"/>
                <w:szCs w:val="21"/>
              </w:rPr>
            </w:pPr>
            <w:r>
              <w:rPr>
                <w:rFonts w:ascii="Times New Roman" w:hAnsi="Times New Roman"/>
                <w:sz w:val="21"/>
                <w:szCs w:val="21"/>
              </w:rPr>
              <w:t>Simulation assumption</w:t>
            </w:r>
          </w:p>
        </w:tc>
      </w:tr>
      <w:tr>
        <w:tblPrEx>
          <w:tblCellMar>
            <w:top w:w="0" w:type="dxa"/>
            <w:left w:w="0" w:type="dxa"/>
            <w:bottom w:w="0" w:type="dxa"/>
            <w:right w:w="0" w:type="dxa"/>
          </w:tblCellMar>
        </w:tblPrEx>
        <w:trPr>
          <w:trHeight w:val="485" w:hRule="atLeast"/>
          <w:jc w:val="center"/>
        </w:trPr>
        <w:tc>
          <w:tcPr>
            <w:tcW w:w="23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spacing w:before="120" w:after="120"/>
              <w:jc w:val="center"/>
              <w:rPr>
                <w:szCs w:val="21"/>
                <w:lang w:eastAsia="ko-KR"/>
              </w:rPr>
            </w:pPr>
            <w:r>
              <w:rPr>
                <w:szCs w:val="21"/>
              </w:rPr>
              <w:t>Duplex Mode / Simulation bandwidth</w:t>
            </w:r>
          </w:p>
        </w:tc>
        <w:tc>
          <w:tcPr>
            <w:tcW w:w="381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spacing w:before="120" w:after="120"/>
              <w:jc w:val="center"/>
              <w:rPr>
                <w:szCs w:val="21"/>
                <w:lang w:eastAsia="ko-KR"/>
              </w:rPr>
            </w:pPr>
            <w:r>
              <w:rPr>
                <w:szCs w:val="21"/>
              </w:rPr>
              <w:t>TDD/100 MHz</w:t>
            </w:r>
          </w:p>
        </w:tc>
        <w:tc>
          <w:tcPr>
            <w:tcW w:w="381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spacing w:before="120" w:after="120"/>
              <w:jc w:val="center"/>
              <w:rPr>
                <w:szCs w:val="21"/>
              </w:rPr>
            </w:pPr>
            <w:r>
              <w:rPr>
                <w:rFonts w:hint="eastAsia"/>
                <w:szCs w:val="21"/>
              </w:rPr>
              <w:t>FDD/20 MHz</w:t>
            </w:r>
          </w:p>
        </w:tc>
      </w:tr>
      <w:tr>
        <w:tblPrEx>
          <w:tblCellMar>
            <w:top w:w="0" w:type="dxa"/>
            <w:left w:w="0" w:type="dxa"/>
            <w:bottom w:w="0" w:type="dxa"/>
            <w:right w:w="0" w:type="dxa"/>
          </w:tblCellMar>
        </w:tblPrEx>
        <w:trPr>
          <w:trHeight w:val="90" w:hRule="atLeast"/>
          <w:jc w:val="center"/>
        </w:trPr>
        <w:tc>
          <w:tcPr>
            <w:tcW w:w="23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b w:val="0"/>
                <w:sz w:val="21"/>
                <w:szCs w:val="21"/>
              </w:rPr>
            </w:pPr>
            <w:r>
              <w:rPr>
                <w:rFonts w:ascii="Times New Roman" w:hAnsi="Times New Roman"/>
                <w:b w:val="0"/>
                <w:sz w:val="21"/>
                <w:szCs w:val="21"/>
              </w:rPr>
              <w:t>SSB</w:t>
            </w:r>
          </w:p>
        </w:tc>
        <w:tc>
          <w:tcPr>
            <w:tcW w:w="381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b w:val="0"/>
                <w:sz w:val="21"/>
                <w:szCs w:val="21"/>
              </w:rPr>
            </w:pPr>
            <w:r>
              <w:rPr>
                <w:rFonts w:ascii="Times New Roman" w:hAnsi="Times New Roman"/>
                <w:b w:val="0"/>
                <w:sz w:val="21"/>
                <w:szCs w:val="21"/>
              </w:rPr>
              <w:t>20ms, 8 beams</w:t>
            </w:r>
          </w:p>
        </w:tc>
        <w:tc>
          <w:tcPr>
            <w:tcW w:w="381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b w:val="0"/>
                <w:sz w:val="21"/>
                <w:szCs w:val="21"/>
              </w:rPr>
            </w:pPr>
            <w:r>
              <w:rPr>
                <w:rFonts w:ascii="Times New Roman" w:hAnsi="Times New Roman"/>
                <w:b w:val="0"/>
                <w:sz w:val="21"/>
                <w:szCs w:val="21"/>
              </w:rPr>
              <w:t xml:space="preserve">20ms, </w:t>
            </w:r>
            <w:r>
              <w:rPr>
                <w:rFonts w:hint="eastAsia" w:ascii="Times New Roman" w:hAnsi="Times New Roman"/>
                <w:b w:val="0"/>
                <w:sz w:val="21"/>
                <w:szCs w:val="21"/>
              </w:rPr>
              <w:t>4</w:t>
            </w:r>
            <w:r>
              <w:rPr>
                <w:rFonts w:ascii="Times New Roman" w:hAnsi="Times New Roman"/>
                <w:b w:val="0"/>
                <w:sz w:val="21"/>
                <w:szCs w:val="21"/>
              </w:rPr>
              <w:t xml:space="preserve"> beams</w:t>
            </w:r>
          </w:p>
        </w:tc>
      </w:tr>
      <w:tr>
        <w:tblPrEx>
          <w:tblCellMar>
            <w:top w:w="0" w:type="dxa"/>
            <w:left w:w="0" w:type="dxa"/>
            <w:bottom w:w="0" w:type="dxa"/>
            <w:right w:w="0" w:type="dxa"/>
          </w:tblCellMar>
        </w:tblPrEx>
        <w:trPr>
          <w:trHeight w:val="90" w:hRule="atLeast"/>
          <w:jc w:val="center"/>
        </w:trPr>
        <w:tc>
          <w:tcPr>
            <w:tcW w:w="2321"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jc w:val="both"/>
              <w:rPr>
                <w:rFonts w:ascii="Times New Roman" w:hAnsi="Times New Roman"/>
                <w:b w:val="0"/>
                <w:sz w:val="21"/>
                <w:szCs w:val="21"/>
              </w:rPr>
            </w:pPr>
            <w:r>
              <w:rPr>
                <w:rFonts w:ascii="Times New Roman" w:hAnsi="Times New Roman"/>
                <w:b w:val="0"/>
                <w:sz w:val="21"/>
                <w:szCs w:val="21"/>
              </w:rPr>
              <w:t>SIB1</w:t>
            </w:r>
          </w:p>
        </w:tc>
        <w:tc>
          <w:tcPr>
            <w:tcW w:w="381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b w:val="0"/>
                <w:sz w:val="21"/>
                <w:szCs w:val="21"/>
              </w:rPr>
            </w:pPr>
            <w:r>
              <w:rPr>
                <w:rFonts w:ascii="Times New Roman" w:hAnsi="Times New Roman"/>
                <w:b w:val="0"/>
                <w:sz w:val="21"/>
                <w:szCs w:val="21"/>
              </w:rPr>
              <w:t>40ms, 8 beams</w:t>
            </w:r>
          </w:p>
        </w:tc>
        <w:tc>
          <w:tcPr>
            <w:tcW w:w="3813" w:type="dxa"/>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45"/>
              <w:spacing w:before="0" w:beforeLines="0" w:afterLines="0"/>
              <w:rPr>
                <w:rFonts w:ascii="Times New Roman" w:hAnsi="Times New Roman"/>
                <w:b w:val="0"/>
                <w:sz w:val="21"/>
                <w:szCs w:val="21"/>
              </w:rPr>
            </w:pPr>
            <w:r>
              <w:rPr>
                <w:rFonts w:ascii="Times New Roman" w:hAnsi="Times New Roman"/>
                <w:b w:val="0"/>
                <w:sz w:val="21"/>
                <w:szCs w:val="21"/>
              </w:rPr>
              <w:t xml:space="preserve">40ms, </w:t>
            </w:r>
            <w:r>
              <w:rPr>
                <w:rFonts w:hint="eastAsia" w:ascii="Times New Roman" w:hAnsi="Times New Roman"/>
                <w:b w:val="0"/>
                <w:sz w:val="21"/>
                <w:szCs w:val="21"/>
              </w:rPr>
              <w:t>4</w:t>
            </w:r>
            <w:r>
              <w:rPr>
                <w:rFonts w:ascii="Times New Roman" w:hAnsi="Times New Roman"/>
                <w:b w:val="0"/>
                <w:sz w:val="21"/>
                <w:szCs w:val="21"/>
              </w:rPr>
              <w:t xml:space="preserve"> beams</w:t>
            </w:r>
          </w:p>
        </w:tc>
      </w:tr>
    </w:tbl>
    <w:p>
      <w:pPr>
        <w:spacing w:before="120" w:after="120"/>
        <w:rPr>
          <w:szCs w:val="21"/>
        </w:rPr>
      </w:pPr>
    </w:p>
    <w:p>
      <w:pPr>
        <w:pStyle w:val="28"/>
        <w:spacing w:before="120" w:after="120"/>
        <w:rPr>
          <w:sz w:val="21"/>
          <w:szCs w:val="21"/>
        </w:rPr>
      </w:pPr>
      <w:bookmarkStart w:id="68" w:name="_Toc30342"/>
      <w:r>
        <w:rPr>
          <w:i w:val="0"/>
          <w:sz w:val="21"/>
          <w:szCs w:val="21"/>
          <w:lang w:val="en-US" w:eastAsia="zh-CN"/>
        </w:rPr>
        <w:t>The simulation assumption in</w:t>
      </w:r>
      <w:r>
        <w:rPr>
          <w:rFonts w:hint="eastAsia"/>
          <w:i w:val="0"/>
          <w:sz w:val="21"/>
          <w:szCs w:val="21"/>
          <w:lang w:val="en-US" w:eastAsia="zh-CN"/>
        </w:rPr>
        <w:t xml:space="preserve"> </w:t>
      </w:r>
      <w:r>
        <w:rPr>
          <w:i w:val="0"/>
          <w:sz w:val="21"/>
          <w:szCs w:val="21"/>
        </w:rPr>
        <w:t>Table 4 can be considered in the baseline setting for the system level simulation.</w:t>
      </w:r>
      <w:bookmarkEnd w:id="68"/>
      <w:r>
        <w:rPr>
          <w:i w:val="0"/>
          <w:sz w:val="21"/>
          <w:szCs w:val="21"/>
        </w:rPr>
        <w:t xml:space="preserve"> </w:t>
      </w:r>
    </w:p>
    <w:p>
      <w:pPr>
        <w:spacing w:before="120" w:after="120"/>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 xml:space="preserve">Preliminary </w:t>
      </w:r>
      <w:r>
        <w:rPr>
          <w:rFonts w:hint="eastAsia" w:ascii="Times New Roman" w:hAnsi="Times New Roman" w:eastAsia="宋体"/>
          <w:b/>
          <w:bCs/>
          <w:sz w:val="28"/>
          <w:szCs w:val="28"/>
        </w:rPr>
        <w:t>system-level simulation results</w:t>
      </w:r>
    </w:p>
    <w:p>
      <w:pPr>
        <w:spacing w:before="120" w:after="120"/>
      </w:pPr>
      <w:r>
        <w:rPr>
          <w:rFonts w:hint="eastAsia"/>
        </w:rPr>
        <w:t xml:space="preserve">In this section, we provide </w:t>
      </w:r>
      <w:r>
        <w:t>some</w:t>
      </w:r>
      <w:r>
        <w:rPr>
          <w:rFonts w:hint="eastAsia"/>
        </w:rPr>
        <w:t xml:space="preserve"> preliminary simulation results of the base station power consumption. The power model is based on the analysis above and the additional assumption is listed as below.</w:t>
      </w:r>
    </w:p>
    <w:p>
      <w:pPr>
        <w:numPr>
          <w:ilvl w:val="0"/>
          <w:numId w:val="16"/>
        </w:numPr>
        <w:spacing w:before="120" w:after="120"/>
      </w:pPr>
      <w:r>
        <w:rPr>
          <w:rFonts w:hint="eastAsia"/>
          <w:b/>
          <w:bCs/>
        </w:rPr>
        <w:t>UE</w:t>
      </w:r>
      <w:r>
        <w:rPr>
          <w:b/>
          <w:bCs/>
        </w:rPr>
        <w:t>’</w:t>
      </w:r>
      <w:r>
        <w:rPr>
          <w:rFonts w:hint="eastAsia"/>
          <w:b/>
          <w:bCs/>
        </w:rPr>
        <w:t>s traffic:</w:t>
      </w:r>
      <w:r>
        <w:rPr>
          <w:rFonts w:hint="eastAsia"/>
        </w:rPr>
        <w:t xml:space="preserve"> FTP3.</w:t>
      </w:r>
    </w:p>
    <w:p>
      <w:pPr>
        <w:numPr>
          <w:ilvl w:val="0"/>
          <w:numId w:val="16"/>
        </w:numPr>
        <w:spacing w:before="120" w:after="120"/>
      </w:pPr>
      <w:r>
        <w:rPr>
          <w:rFonts w:hint="eastAsia"/>
          <w:b/>
          <w:bCs/>
        </w:rPr>
        <w:t>REs dedicated to PDCCH and PDSCH:</w:t>
      </w:r>
      <w:r>
        <w:rPr>
          <w:rFonts w:hint="eastAsia"/>
        </w:rPr>
        <w:t xml:space="preserve"> 0% ~ 30% PRB</w:t>
      </w:r>
    </w:p>
    <w:p>
      <w:pPr>
        <w:spacing w:before="120" w:after="120"/>
      </w:pPr>
    </w:p>
    <w:p>
      <w:pPr>
        <w:spacing w:before="120" w:after="120"/>
      </w:pPr>
      <w:r>
        <w:rPr>
          <w:rFonts w:hint="eastAsia"/>
        </w:rPr>
        <w:t>Herein</w:t>
      </w:r>
      <w:r>
        <w:t xml:space="preserve"> the</w:t>
      </w:r>
      <w:r>
        <w:rPr>
          <w:rFonts w:hint="eastAsia"/>
        </w:rPr>
        <w:t xml:space="preserve"> cases </w:t>
      </w:r>
      <w:r>
        <w:t>in</w:t>
      </w:r>
      <w:r>
        <w:rPr>
          <w:rFonts w:hint="eastAsia"/>
        </w:rPr>
        <w:t xml:space="preserve"> the simulation </w:t>
      </w:r>
      <w:r>
        <w:t xml:space="preserve">are </w:t>
      </w:r>
      <w:r>
        <w:rPr>
          <w:rFonts w:hint="eastAsia"/>
        </w:rPr>
        <w:t xml:space="preserve">shown in </w:t>
      </w:r>
      <w:r>
        <w:rPr>
          <w:rFonts w:hint="eastAsia"/>
        </w:rPr>
        <w:fldChar w:fldCharType="begin"/>
      </w:r>
      <w:r>
        <w:rPr>
          <w:rFonts w:hint="eastAsia"/>
        </w:rPr>
        <w:instrText xml:space="preserve"> REF _Ref19975 \h </w:instrText>
      </w:r>
      <w:r>
        <w:rPr>
          <w:rFonts w:hint="eastAsia"/>
        </w:rPr>
        <w:fldChar w:fldCharType="separate"/>
      </w:r>
      <w:r>
        <w:t xml:space="preserve">Table </w:t>
      </w:r>
      <w:r>
        <w:rPr>
          <w:rFonts w:hint="eastAsia"/>
        </w:rPr>
        <w:fldChar w:fldCharType="end"/>
      </w:r>
      <w:r>
        <w:rPr>
          <w:rFonts w:hint="eastAsia"/>
        </w:rPr>
        <w:t xml:space="preserve">5. Simulation results of network energy savings gains and average UE power consumption for all of the cases under different resource utilization are shown in </w:t>
      </w:r>
      <w:r>
        <w:rPr>
          <w:rFonts w:hint="eastAsia"/>
        </w:rPr>
        <w:fldChar w:fldCharType="begin"/>
      </w:r>
      <w:r>
        <w:rPr>
          <w:rFonts w:hint="eastAsia"/>
        </w:rPr>
        <w:instrText xml:space="preserve"> REF _Ref4436 \h </w:instrText>
      </w:r>
      <w:r>
        <w:rPr>
          <w:rFonts w:hint="eastAsia"/>
        </w:rPr>
        <w:fldChar w:fldCharType="separate"/>
      </w:r>
      <w:r>
        <w:rPr>
          <w:szCs w:val="21"/>
        </w:rPr>
        <w:t xml:space="preserve">Figure </w:t>
      </w:r>
      <w:r>
        <w:rPr>
          <w:rFonts w:hint="eastAsia"/>
        </w:rPr>
        <w:fldChar w:fldCharType="end"/>
      </w:r>
      <w:r>
        <w:rPr>
          <w:rFonts w:hint="eastAsia"/>
          <w:szCs w:val="21"/>
        </w:rPr>
        <w:t>3</w:t>
      </w:r>
      <w:r>
        <w:rPr>
          <w:rFonts w:hint="eastAsia"/>
        </w:rPr>
        <w:t xml:space="preserve"> based on the </w:t>
      </w:r>
      <w:bookmarkStart w:id="69" w:name="OLE_LINK1"/>
      <w:r>
        <w:rPr>
          <w:rFonts w:hint="eastAsia"/>
        </w:rPr>
        <w:t>simulation assumption</w:t>
      </w:r>
      <w:bookmarkEnd w:id="69"/>
      <w:r>
        <w:rPr>
          <w:rFonts w:hint="eastAsia"/>
        </w:rPr>
        <w:t xml:space="preserve"> shown in Table A1 in Appendix. </w:t>
      </w:r>
      <w:r>
        <w:t>Wherein the UPT ratio is the ratio of the UPT of enhanced scheme over UPT of baseline scheme.</w:t>
      </w:r>
    </w:p>
    <w:p>
      <w:pPr>
        <w:pStyle w:val="5"/>
        <w:spacing w:before="120" w:after="120"/>
        <w:jc w:val="center"/>
        <w:rPr>
          <w:rFonts w:ascii="Times New Roman" w:hAnsi="Times New Roman"/>
          <w:sz w:val="21"/>
          <w:szCs w:val="21"/>
        </w:rPr>
      </w:pPr>
      <w:bookmarkStart w:id="70" w:name="_Ref19975"/>
      <w:r>
        <w:rPr>
          <w:rFonts w:ascii="Times New Roman" w:hAnsi="Times New Roman"/>
          <w:sz w:val="21"/>
          <w:szCs w:val="21"/>
        </w:rPr>
        <w:t xml:space="preserve">Table </w:t>
      </w:r>
      <w:bookmarkEnd w:id="70"/>
      <w:r>
        <w:rPr>
          <w:rFonts w:hint="eastAsia" w:ascii="Times New Roman" w:hAnsi="Times New Roman"/>
          <w:sz w:val="21"/>
          <w:szCs w:val="21"/>
        </w:rPr>
        <w:t>5</w:t>
      </w:r>
      <w:r>
        <w:rPr>
          <w:rFonts w:ascii="Times New Roman" w:hAnsi="Times New Roman"/>
          <w:sz w:val="21"/>
          <w:szCs w:val="21"/>
        </w:rPr>
        <w:t xml:space="preserve"> Cases for system-level simulation</w:t>
      </w:r>
    </w:p>
    <w:tbl>
      <w:tblPr>
        <w:tblStyle w:val="17"/>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9"/>
        <w:gridCol w:w="7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shd w:val="clear" w:color="auto" w:fill="auto"/>
            <w:vAlign w:val="center"/>
          </w:tcPr>
          <w:p>
            <w:pPr>
              <w:spacing w:before="120" w:after="120"/>
              <w:jc w:val="center"/>
              <w:rPr>
                <w:b/>
                <w:bCs/>
              </w:rPr>
            </w:pPr>
            <w:r>
              <w:rPr>
                <w:rFonts w:hint="eastAsia"/>
                <w:b/>
                <w:bCs/>
              </w:rPr>
              <w:t xml:space="preserve">Case </w:t>
            </w:r>
          </w:p>
        </w:tc>
        <w:tc>
          <w:tcPr>
            <w:tcW w:w="3671" w:type="pct"/>
            <w:shd w:val="clear" w:color="auto" w:fill="auto"/>
            <w:vAlign w:val="center"/>
          </w:tcPr>
          <w:p>
            <w:pPr>
              <w:spacing w:before="120" w:after="120"/>
              <w:jc w:val="center"/>
              <w:rPr>
                <w:b/>
                <w:bCs/>
              </w:rPr>
            </w:pPr>
            <w:r>
              <w:rPr>
                <w:rFonts w:hint="eastAsia"/>
                <w:b/>
                <w:bCs/>
              </w:rPr>
              <w:t xml:space="preserve">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64T data+SSB+SIB</w:t>
            </w:r>
          </w:p>
        </w:tc>
        <w:tc>
          <w:tcPr>
            <w:tcW w:w="3671" w:type="pct"/>
            <w:vAlign w:val="center"/>
          </w:tcPr>
          <w:p>
            <w:pPr>
              <w:spacing w:before="120" w:after="120"/>
              <w:jc w:val="center"/>
            </w:pPr>
            <w:r>
              <w:rPr>
                <w:rFonts w:hint="eastAsia"/>
              </w:rPr>
              <w:t>BS antenna configuration: (M, N, P, Mg, Ng) = (8, 8, 2, 1, 1)</w:t>
            </w:r>
          </w:p>
          <w:p>
            <w:pPr>
              <w:spacing w:before="120" w:after="120"/>
              <w:jc w:val="center"/>
            </w:pPr>
            <w:r>
              <w:rPr>
                <w:rFonts w:hint="eastAsia"/>
              </w:rPr>
              <w:t>SSB: 8 beams, 20ms periodicity</w:t>
            </w:r>
          </w:p>
          <w:p>
            <w:pPr>
              <w:spacing w:before="120" w:after="120"/>
              <w:jc w:val="center"/>
            </w:pPr>
            <w:r>
              <w:rPr>
                <w:rFonts w:hint="eastAsia"/>
              </w:rPr>
              <w:t>SIB1: 8 beams, 40ms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64T data-only</w:t>
            </w:r>
          </w:p>
        </w:tc>
        <w:tc>
          <w:tcPr>
            <w:tcW w:w="3671" w:type="pct"/>
            <w:vAlign w:val="center"/>
          </w:tcPr>
          <w:p>
            <w:pPr>
              <w:spacing w:before="120" w:after="120"/>
              <w:jc w:val="center"/>
            </w:pPr>
            <w:r>
              <w:rPr>
                <w:rFonts w:hint="eastAsia"/>
              </w:rPr>
              <w:t>BS antenna configuration: (M, N, P, Mg, Ng) = (8, 8, 2, 1, 1)</w:t>
            </w:r>
          </w:p>
        </w:tc>
      </w:tr>
    </w:tbl>
    <w:p>
      <w:pPr>
        <w:spacing w:before="120" w:after="120"/>
      </w:pPr>
    </w:p>
    <w:p>
      <w:pPr>
        <w:spacing w:before="120" w:after="120"/>
      </w:pPr>
      <w:bookmarkStart w:id="71" w:name="_Ref4436"/>
      <w:r>
        <w:drawing>
          <wp:inline distT="0" distB="0" distL="114300" distR="114300">
            <wp:extent cx="2879725" cy="2160270"/>
            <wp:effectExtent l="4445" t="4445" r="11430" b="6985"/>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drawing>
          <wp:inline distT="0" distB="0" distL="114300" distR="114300">
            <wp:extent cx="2879725" cy="2160270"/>
            <wp:effectExtent l="4445" t="4445" r="11430" b="698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pPr>
        <w:spacing w:before="120" w:after="120"/>
        <w:jc w:val="center"/>
        <w:rPr>
          <w:szCs w:val="21"/>
          <w:lang w:bidi="ar"/>
        </w:rPr>
      </w:pPr>
      <w:r>
        <w:rPr>
          <w:szCs w:val="21"/>
          <w:lang w:bidi="ar"/>
        </w:rPr>
        <w:t xml:space="preserve">Figure </w:t>
      </w:r>
      <w:r>
        <w:rPr>
          <w:szCs w:val="21"/>
          <w:lang w:bidi="ar"/>
        </w:rPr>
        <w:fldChar w:fldCharType="begin"/>
      </w:r>
      <w:r>
        <w:rPr>
          <w:szCs w:val="21"/>
          <w:lang w:bidi="ar"/>
        </w:rPr>
        <w:instrText xml:space="preserve"> SEQ Figure \* ARABIC </w:instrText>
      </w:r>
      <w:r>
        <w:rPr>
          <w:szCs w:val="21"/>
          <w:lang w:bidi="ar"/>
        </w:rPr>
        <w:fldChar w:fldCharType="separate"/>
      </w:r>
      <w:r>
        <w:rPr>
          <w:szCs w:val="21"/>
          <w:lang w:bidi="ar"/>
        </w:rPr>
        <w:t>3</w:t>
      </w:r>
      <w:r>
        <w:rPr>
          <w:szCs w:val="21"/>
          <w:lang w:bidi="ar"/>
        </w:rPr>
        <w:fldChar w:fldCharType="end"/>
      </w:r>
      <w:r>
        <w:rPr>
          <w:szCs w:val="21"/>
          <w:lang w:bidi="ar"/>
        </w:rPr>
        <w:t xml:space="preserve"> </w:t>
      </w:r>
      <w:r>
        <w:rPr>
          <w:rFonts w:hint="eastAsia"/>
          <w:szCs w:val="21"/>
          <w:lang w:val="en-US" w:eastAsia="zh-CN" w:bidi="ar"/>
        </w:rPr>
        <w:t xml:space="preserve">Evaluation results </w:t>
      </w:r>
      <w:r>
        <w:rPr>
          <w:szCs w:val="21"/>
          <w:lang w:bidi="ar"/>
        </w:rPr>
        <w:t>of SSB-less for inter-band CA</w:t>
      </w:r>
    </w:p>
    <w:p>
      <w:pPr>
        <w:spacing w:before="120" w:after="120"/>
      </w:pPr>
      <w:r>
        <w:drawing>
          <wp:inline distT="0" distB="0" distL="114300" distR="114300">
            <wp:extent cx="2879725" cy="2160270"/>
            <wp:effectExtent l="4445" t="4445" r="11430" b="6985"/>
            <wp:docPr id="1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drawing>
          <wp:inline distT="0" distB="0" distL="114300" distR="114300">
            <wp:extent cx="3060065" cy="2160270"/>
            <wp:effectExtent l="4445" t="4445" r="21590" b="6985"/>
            <wp:docPr id="1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pPr>
        <w:spacing w:before="120" w:after="120"/>
        <w:jc w:val="center"/>
        <w:rPr>
          <w:szCs w:val="21"/>
        </w:rPr>
      </w:pPr>
      <w:r>
        <w:rPr>
          <w:szCs w:val="21"/>
          <w:lang w:bidi="ar"/>
        </w:rPr>
        <w:t xml:space="preserve">Figure </w:t>
      </w:r>
      <w:r>
        <w:rPr>
          <w:rFonts w:hint="eastAsia"/>
          <w:szCs w:val="21"/>
          <w:lang w:bidi="ar"/>
        </w:rPr>
        <w:t>4</w:t>
      </w:r>
      <w:r>
        <w:rPr>
          <w:szCs w:val="21"/>
          <w:lang w:bidi="ar"/>
        </w:rPr>
        <w:t xml:space="preserve"> </w:t>
      </w:r>
      <w:r>
        <w:rPr>
          <w:rFonts w:hint="eastAsia"/>
          <w:szCs w:val="21"/>
          <w:lang w:val="en-US" w:eastAsia="zh-CN" w:bidi="ar"/>
        </w:rPr>
        <w:t xml:space="preserve">Evaluation results </w:t>
      </w:r>
      <w:r>
        <w:rPr>
          <w:szCs w:val="21"/>
          <w:lang w:bidi="ar"/>
        </w:rPr>
        <w:t>of SSB-less and SIB-less</w:t>
      </w:r>
      <w:r>
        <w:rPr>
          <w:rFonts w:hint="eastAsia"/>
          <w:szCs w:val="21"/>
          <w:lang w:bidi="ar"/>
        </w:rPr>
        <w:t xml:space="preserve"> scheme</w:t>
      </w:r>
    </w:p>
    <w:bookmarkEnd w:id="71"/>
    <w:p>
      <w:pPr>
        <w:spacing w:before="120" w:after="120"/>
      </w:pPr>
      <w:bookmarkStart w:id="75" w:name="_GoBack"/>
      <w:bookmarkEnd w:id="75"/>
      <w:r>
        <w:rPr>
          <w:rFonts w:hint="eastAsia"/>
        </w:rPr>
        <w:t xml:space="preserve">It is observed from the system-level simulation results that </w:t>
      </w:r>
      <w:r>
        <w:rPr>
          <w:szCs w:val="21"/>
          <w:lang w:bidi="ar"/>
        </w:rPr>
        <w:t xml:space="preserve">the SSB-less SCell scheme can obtain </w:t>
      </w:r>
      <w:r>
        <w:rPr>
          <w:rFonts w:hint="eastAsia"/>
          <w:iCs/>
          <w:szCs w:val="21"/>
        </w:rPr>
        <w:t>4</w:t>
      </w:r>
      <w:r>
        <w:rPr>
          <w:iCs/>
          <w:szCs w:val="21"/>
        </w:rPr>
        <w:t>.3%~2</w:t>
      </w:r>
      <w:r>
        <w:rPr>
          <w:rFonts w:hint="eastAsia"/>
          <w:iCs/>
          <w:szCs w:val="21"/>
        </w:rPr>
        <w:t>2.</w:t>
      </w:r>
      <w:r>
        <w:rPr>
          <w:iCs/>
          <w:szCs w:val="21"/>
        </w:rPr>
        <w:t>6%</w:t>
      </w:r>
      <w:r>
        <w:rPr>
          <w:szCs w:val="21"/>
          <w:lang w:bidi="ar"/>
        </w:rPr>
        <w:t xml:space="preserve"> energy saving gain in the cases of RU=</w:t>
      </w:r>
      <w:r>
        <w:rPr>
          <w:rFonts w:hint="eastAsia"/>
          <w:iCs/>
          <w:szCs w:val="21"/>
        </w:rPr>
        <w:t>4.9</w:t>
      </w:r>
      <w:r>
        <w:rPr>
          <w:iCs/>
          <w:szCs w:val="21"/>
        </w:rPr>
        <w:t>%~3</w:t>
      </w:r>
      <w:r>
        <w:rPr>
          <w:rFonts w:hint="eastAsia"/>
          <w:iCs/>
          <w:szCs w:val="21"/>
        </w:rPr>
        <w:t>7.5</w:t>
      </w:r>
      <w:r>
        <w:rPr>
          <w:iCs/>
          <w:szCs w:val="21"/>
        </w:rPr>
        <w:t>%</w:t>
      </w:r>
      <w:r>
        <w:rPr>
          <w:rFonts w:hint="eastAsia"/>
          <w:szCs w:val="21"/>
          <w:lang w:bidi="ar"/>
        </w:rPr>
        <w:t>, and</w:t>
      </w:r>
      <w:r>
        <w:rPr>
          <w:szCs w:val="21"/>
          <w:lang w:bidi="ar"/>
        </w:rPr>
        <w:t xml:space="preserve"> the SSB-less and SIB-less scheme can obtain </w:t>
      </w:r>
      <w:r>
        <w:rPr>
          <w:rFonts w:hint="eastAsia"/>
          <w:szCs w:val="21"/>
        </w:rPr>
        <w:t>9.3</w:t>
      </w:r>
      <w:r>
        <w:rPr>
          <w:szCs w:val="21"/>
        </w:rPr>
        <w:t xml:space="preserve">% ~ </w:t>
      </w:r>
      <w:r>
        <w:rPr>
          <w:rFonts w:hint="eastAsia"/>
          <w:szCs w:val="21"/>
        </w:rPr>
        <w:t>36.2</w:t>
      </w:r>
      <w:r>
        <w:rPr>
          <w:szCs w:val="21"/>
        </w:rPr>
        <w:t>%</w:t>
      </w:r>
      <w:r>
        <w:rPr>
          <w:szCs w:val="21"/>
          <w:lang w:bidi="ar"/>
        </w:rPr>
        <w:t xml:space="preserve"> energy saving gain in the cases of RU=</w:t>
      </w:r>
      <w:r>
        <w:rPr>
          <w:rFonts w:hint="eastAsia"/>
          <w:iCs/>
          <w:szCs w:val="21"/>
        </w:rPr>
        <w:t>4.9</w:t>
      </w:r>
      <w:r>
        <w:rPr>
          <w:iCs/>
          <w:szCs w:val="21"/>
        </w:rPr>
        <w:t>%~3</w:t>
      </w:r>
      <w:r>
        <w:rPr>
          <w:rFonts w:hint="eastAsia"/>
          <w:iCs/>
          <w:szCs w:val="21"/>
        </w:rPr>
        <w:t>7.9</w:t>
      </w:r>
      <w:r>
        <w:rPr>
          <w:iCs/>
          <w:szCs w:val="21"/>
        </w:rPr>
        <w:t>%</w:t>
      </w:r>
      <w:r>
        <w:rPr>
          <w:szCs w:val="21"/>
          <w:lang w:bidi="ar"/>
        </w:rPr>
        <w:t xml:space="preserve">. </w:t>
      </w:r>
      <w:r>
        <w:rPr>
          <w:rFonts w:hint="eastAsia"/>
          <w:szCs w:val="21"/>
          <w:lang w:bidi="ar"/>
        </w:rPr>
        <w:t>It</w:t>
      </w:r>
      <w:r>
        <w:rPr>
          <w:szCs w:val="21"/>
          <w:lang w:bidi="ar"/>
        </w:rPr>
        <w:t xml:space="preserve"> can be also observed that SSB-less/SIB-less scheme can improve the UPT performance.</w:t>
      </w:r>
    </w:p>
    <w:p>
      <w:pPr>
        <w:pStyle w:val="27"/>
        <w:spacing w:before="120" w:after="120"/>
        <w:jc w:val="both"/>
        <w:rPr>
          <w:i w:val="0"/>
          <w:iCs w:val="0"/>
          <w:lang w:val="en-US" w:eastAsia="zh-CN"/>
        </w:rPr>
      </w:pPr>
      <w:bookmarkStart w:id="72" w:name="_Toc721"/>
      <w:r>
        <w:rPr>
          <w:rFonts w:hint="eastAsia"/>
          <w:i w:val="0"/>
          <w:iCs w:val="0"/>
          <w:lang w:val="en-US" w:eastAsia="zh-CN"/>
        </w:rPr>
        <w:t xml:space="preserve">It is observed from the system-level simulation results that </w:t>
      </w:r>
      <w:r>
        <w:rPr>
          <w:rFonts w:eastAsia="宋体"/>
          <w:i w:val="0"/>
          <w:iCs w:val="0"/>
          <w:sz w:val="21"/>
          <w:szCs w:val="21"/>
          <w:lang w:val="en-US" w:eastAsia="zh-CN" w:bidi="ar"/>
        </w:rPr>
        <w:t xml:space="preserve">the SSB-less SCell scheme can obtain </w:t>
      </w:r>
      <w:r>
        <w:rPr>
          <w:rFonts w:hint="eastAsia"/>
          <w:i w:val="0"/>
          <w:sz w:val="21"/>
          <w:szCs w:val="21"/>
          <w:lang w:val="en-US" w:eastAsia="zh-CN"/>
        </w:rPr>
        <w:t>4</w:t>
      </w:r>
      <w:r>
        <w:rPr>
          <w:i w:val="0"/>
          <w:sz w:val="21"/>
          <w:szCs w:val="21"/>
        </w:rPr>
        <w:t>.3%~2</w:t>
      </w:r>
      <w:r>
        <w:rPr>
          <w:rFonts w:hint="eastAsia"/>
          <w:i w:val="0"/>
          <w:sz w:val="21"/>
          <w:szCs w:val="21"/>
          <w:lang w:val="en-US" w:eastAsia="zh-CN"/>
        </w:rPr>
        <w:t>2.</w:t>
      </w:r>
      <w:r>
        <w:rPr>
          <w:i w:val="0"/>
          <w:sz w:val="21"/>
          <w:szCs w:val="21"/>
        </w:rPr>
        <w:t>6%</w:t>
      </w:r>
      <w:r>
        <w:rPr>
          <w:rFonts w:eastAsia="宋体"/>
          <w:i w:val="0"/>
          <w:iCs w:val="0"/>
          <w:sz w:val="21"/>
          <w:szCs w:val="21"/>
          <w:lang w:val="en-US" w:eastAsia="zh-CN" w:bidi="ar"/>
        </w:rPr>
        <w:t xml:space="preserve"> energy saving gain in the cases of RU=</w:t>
      </w:r>
      <w:r>
        <w:rPr>
          <w:rFonts w:hint="eastAsia"/>
          <w:i w:val="0"/>
          <w:sz w:val="21"/>
          <w:szCs w:val="21"/>
          <w:lang w:val="en-US" w:eastAsia="zh-CN"/>
        </w:rPr>
        <w:t>4.9</w:t>
      </w:r>
      <w:r>
        <w:rPr>
          <w:i w:val="0"/>
          <w:sz w:val="21"/>
          <w:szCs w:val="21"/>
        </w:rPr>
        <w:t>%~3</w:t>
      </w:r>
      <w:r>
        <w:rPr>
          <w:rFonts w:hint="eastAsia"/>
          <w:i w:val="0"/>
          <w:sz w:val="21"/>
          <w:szCs w:val="21"/>
          <w:lang w:val="en-US" w:eastAsia="zh-CN"/>
        </w:rPr>
        <w:t>7.5</w:t>
      </w:r>
      <w:r>
        <w:rPr>
          <w:i w:val="0"/>
          <w:sz w:val="21"/>
          <w:szCs w:val="21"/>
        </w:rPr>
        <w:t>%</w:t>
      </w:r>
      <w:r>
        <w:rPr>
          <w:rFonts w:hint="eastAsia"/>
          <w:i w:val="0"/>
          <w:iCs w:val="0"/>
          <w:sz w:val="21"/>
          <w:szCs w:val="21"/>
          <w:lang w:val="en-US" w:eastAsia="zh-CN" w:bidi="ar"/>
        </w:rPr>
        <w:t>, and</w:t>
      </w:r>
      <w:r>
        <w:rPr>
          <w:rFonts w:eastAsia="宋体"/>
          <w:i w:val="0"/>
          <w:iCs w:val="0"/>
          <w:sz w:val="21"/>
          <w:szCs w:val="21"/>
          <w:lang w:val="en-US" w:eastAsia="zh-CN" w:bidi="ar"/>
        </w:rPr>
        <w:t xml:space="preserve"> the SSB-less and SIB-less scheme can obtain </w:t>
      </w:r>
      <w:r>
        <w:rPr>
          <w:rFonts w:hint="eastAsia"/>
          <w:i w:val="0"/>
          <w:iCs w:val="0"/>
          <w:sz w:val="21"/>
          <w:szCs w:val="21"/>
          <w:lang w:val="en-US" w:eastAsia="zh-CN"/>
        </w:rPr>
        <w:t>9.3</w:t>
      </w:r>
      <w:r>
        <w:rPr>
          <w:i w:val="0"/>
          <w:iCs w:val="0"/>
          <w:sz w:val="21"/>
          <w:szCs w:val="21"/>
        </w:rPr>
        <w:t xml:space="preserve">% ~ </w:t>
      </w:r>
      <w:r>
        <w:rPr>
          <w:rFonts w:hint="eastAsia"/>
          <w:i w:val="0"/>
          <w:iCs w:val="0"/>
          <w:sz w:val="21"/>
          <w:szCs w:val="21"/>
          <w:lang w:val="en-US" w:eastAsia="zh-CN"/>
        </w:rPr>
        <w:t>36.2</w:t>
      </w:r>
      <w:r>
        <w:rPr>
          <w:i w:val="0"/>
          <w:iCs w:val="0"/>
          <w:sz w:val="21"/>
          <w:szCs w:val="21"/>
        </w:rPr>
        <w:t>%</w:t>
      </w:r>
      <w:r>
        <w:rPr>
          <w:rFonts w:eastAsia="宋体"/>
          <w:i w:val="0"/>
          <w:iCs w:val="0"/>
          <w:sz w:val="21"/>
          <w:szCs w:val="21"/>
          <w:lang w:val="en-US" w:eastAsia="zh-CN" w:bidi="ar"/>
        </w:rPr>
        <w:t xml:space="preserve"> energy saving gain in the cases of RU=</w:t>
      </w:r>
      <w:r>
        <w:rPr>
          <w:rFonts w:hint="eastAsia"/>
          <w:i w:val="0"/>
          <w:sz w:val="21"/>
          <w:szCs w:val="21"/>
          <w:lang w:val="en-US" w:eastAsia="zh-CN"/>
        </w:rPr>
        <w:t>4.9</w:t>
      </w:r>
      <w:r>
        <w:rPr>
          <w:i w:val="0"/>
          <w:sz w:val="21"/>
          <w:szCs w:val="21"/>
        </w:rPr>
        <w:t>%~3</w:t>
      </w:r>
      <w:r>
        <w:rPr>
          <w:rFonts w:hint="eastAsia"/>
          <w:i w:val="0"/>
          <w:sz w:val="21"/>
          <w:szCs w:val="21"/>
          <w:lang w:val="en-US" w:eastAsia="zh-CN"/>
        </w:rPr>
        <w:t>7.9</w:t>
      </w:r>
      <w:r>
        <w:rPr>
          <w:i w:val="0"/>
          <w:sz w:val="21"/>
          <w:szCs w:val="21"/>
        </w:rPr>
        <w:t>%</w:t>
      </w:r>
      <w:r>
        <w:rPr>
          <w:rFonts w:eastAsia="宋体"/>
          <w:i w:val="0"/>
          <w:iCs w:val="0"/>
          <w:sz w:val="21"/>
          <w:szCs w:val="21"/>
          <w:lang w:val="en-US" w:eastAsia="zh-CN" w:bidi="ar"/>
        </w:rPr>
        <w:t>.</w:t>
      </w:r>
      <w:bookmarkEnd w:id="72"/>
      <w:r>
        <w:rPr>
          <w:rFonts w:hint="eastAsia"/>
          <w:i w:val="0"/>
          <w:iCs w:val="0"/>
          <w:lang w:val="en-US" w:eastAsia="zh-CN"/>
        </w:rPr>
        <w:t xml:space="preserve">  </w:t>
      </w:r>
    </w:p>
    <w:p>
      <w:pPr>
        <w:spacing w:before="120" w:after="120"/>
        <w:rPr>
          <w:b/>
          <w:bCs/>
          <w:sz w:val="28"/>
          <w:szCs w:val="28"/>
        </w:rPr>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rPr>
          <w:szCs w:val="22"/>
        </w:rPr>
      </w:pPr>
      <w:r>
        <w:rPr>
          <w:rFonts w:hint="eastAsia"/>
          <w:szCs w:val="22"/>
        </w:rPr>
        <w:t>In this contribution, we discuss the energy consumption model, the evaluation methodology</w:t>
      </w:r>
      <w:r>
        <w:rPr>
          <w:szCs w:val="22"/>
        </w:rPr>
        <w:t xml:space="preserve">. Some </w:t>
      </w:r>
      <w:r>
        <w:rPr>
          <w:rFonts w:hint="eastAsia"/>
        </w:rPr>
        <w:t>preliminary</w:t>
      </w:r>
      <w:r>
        <w:t xml:space="preserve"> evaluation results are also provided. </w:t>
      </w:r>
      <w:r>
        <w:rPr>
          <w:szCs w:val="22"/>
        </w:rPr>
        <w:t>We</w:t>
      </w:r>
      <w:r>
        <w:rPr>
          <w:rFonts w:hint="eastAsia"/>
          <w:szCs w:val="22"/>
        </w:rPr>
        <w:t xml:space="preserve"> have the following observations and proposals</w:t>
      </w:r>
    </w:p>
    <w:p>
      <w:pPr>
        <w:pStyle w:val="11"/>
        <w:tabs>
          <w:tab w:val="right" w:leader="dot" w:pos="9660"/>
          <w:tab w:val="clear" w:pos="0"/>
        </w:tabs>
        <w:spacing w:before="120" w:after="120"/>
        <w:jc w:val="both"/>
        <w:rPr>
          <w:sz w:val="21"/>
          <w:szCs w:val="21"/>
        </w:rPr>
      </w:pPr>
      <w:r>
        <w:rPr>
          <w:i w:val="0"/>
          <w:iCs w:val="0"/>
          <w:sz w:val="21"/>
          <w:szCs w:val="21"/>
        </w:rPr>
        <w:fldChar w:fldCharType="begin"/>
      </w:r>
      <w:r>
        <w:rPr>
          <w:i w:val="0"/>
          <w:iCs w:val="0"/>
          <w:sz w:val="21"/>
          <w:szCs w:val="21"/>
        </w:rPr>
        <w:instrText xml:space="preserve">TOC \n  \t "YJ-Observation,1,sub-observation,2,3rd level observation,3" \h</w:instrText>
      </w:r>
      <w:r>
        <w:rPr>
          <w:i w:val="0"/>
          <w:iCs w:val="0"/>
          <w:sz w:val="21"/>
          <w:szCs w:val="21"/>
        </w:rPr>
        <w:fldChar w:fldCharType="separate"/>
      </w:r>
      <w:r>
        <w:fldChar w:fldCharType="begin"/>
      </w:r>
      <w:r>
        <w:instrText xml:space="preserve"> HYPERLINK \l "_Toc27424" </w:instrText>
      </w:r>
      <w:r>
        <w:fldChar w:fldCharType="separate"/>
      </w:r>
      <w:r>
        <w:rPr>
          <w:rFonts w:eastAsia="宋体"/>
          <w:i w:val="0"/>
          <w:iCs w:val="0"/>
          <w:sz w:val="21"/>
          <w:szCs w:val="21"/>
        </w:rPr>
        <w:t xml:space="preserve">Observation 1: </w:t>
      </w:r>
      <w:r>
        <w:rPr>
          <w:i w:val="0"/>
          <w:sz w:val="21"/>
          <w:szCs w:val="21"/>
        </w:rPr>
        <w:t>The power consumption of UL reception doesn’t differ greatly in different uplink services</w:t>
      </w:r>
      <w:r>
        <w:rPr>
          <w:sz w:val="21"/>
          <w:szCs w:val="21"/>
        </w:rPr>
        <w:t>.</w:t>
      </w:r>
      <w:r>
        <w:rPr>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"_Toc19638" </w:instrText>
      </w:r>
      <w:r>
        <w:fldChar w:fldCharType="separate"/>
      </w:r>
      <w:r>
        <w:rPr>
          <w:rFonts w:eastAsia="宋体"/>
          <w:i w:val="0"/>
          <w:iCs w:val="0"/>
          <w:sz w:val="21"/>
          <w:szCs w:val="21"/>
        </w:rPr>
        <w:t xml:space="preserve">Observation 2: </w:t>
      </w:r>
      <w:r>
        <w:rPr>
          <w:i w:val="0"/>
          <w:sz w:val="21"/>
          <w:szCs w:val="21"/>
        </w:rPr>
        <w:t>The DL transmission power consumption per-slot is affected by the number of symbols and bandwidth occupied by the transmission in a slot, not by the specific contents of the transmission.</w:t>
      </w:r>
      <w:r>
        <w:rPr>
          <w:i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"_Toc19477" </w:instrText>
      </w:r>
      <w:r>
        <w:fldChar w:fldCharType="separate"/>
      </w:r>
      <w:r>
        <w:rPr>
          <w:rFonts w:eastAsia="宋体"/>
          <w:i w:val="0"/>
          <w:iCs w:val="0"/>
          <w:sz w:val="21"/>
          <w:szCs w:val="21"/>
        </w:rPr>
        <w:t xml:space="preserve">Observation 3: </w:t>
      </w:r>
      <w:r>
        <w:rPr>
          <w:i w:val="0"/>
          <w:sz w:val="21"/>
          <w:szCs w:val="21"/>
        </w:rPr>
        <w:t>For UL reception, the following two options can be considered</w:t>
      </w:r>
      <w:r>
        <w:rPr>
          <w:i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"_Toc5634" </w:instrText>
      </w:r>
      <w:r>
        <w:fldChar w:fldCharType="separate"/>
      </w:r>
      <w:r>
        <w:rPr>
          <w:rFonts w:eastAsia="宋体"/>
          <w:i w:val="0"/>
          <w:iCs w:val="0"/>
          <w:sz w:val="21"/>
          <w:szCs w:val="21"/>
        </w:rPr>
        <w:t xml:space="preserve">Observation 4: </w:t>
      </w:r>
      <w:r>
        <w:rPr>
          <w:i w:val="0"/>
          <w:sz w:val="21"/>
          <w:szCs w:val="21"/>
        </w:rPr>
        <w:t xml:space="preserve">For </w:t>
      </w:r>
      <w:r>
        <w:rPr>
          <w:i w:val="0"/>
          <w:iCs w:val="0"/>
          <w:sz w:val="21"/>
          <w:szCs w:val="21"/>
        </w:rPr>
        <w:t xml:space="preserve">intra-band CA, </w:t>
      </w:r>
      <w:r>
        <w:rPr>
          <w:i w:val="0"/>
          <w:sz w:val="21"/>
          <w:szCs w:val="21"/>
        </w:rPr>
        <w:t>the total energy consumption of multiple cells is less than the sum of the power consumption of each cell. For inter-band CA, the total energy consumption of multiple cells is equal to the sum of the power consumption of each cell.</w:t>
      </w:r>
      <w:r>
        <w:rPr>
          <w:i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"_Toc721" </w:instrText>
      </w:r>
      <w:r>
        <w:fldChar w:fldCharType="separate"/>
      </w:r>
      <w:r>
        <w:rPr>
          <w:rFonts w:eastAsia="宋体"/>
          <w:i w:val="0"/>
          <w:iCs w:val="0"/>
          <w:sz w:val="21"/>
          <w:szCs w:val="21"/>
        </w:rPr>
        <w:t xml:space="preserve">Observation 5: </w:t>
      </w:r>
      <w:r>
        <w:rPr>
          <w:i w:val="0"/>
          <w:iCs w:val="0"/>
          <w:sz w:val="21"/>
          <w:szCs w:val="21"/>
        </w:rPr>
        <w:t xml:space="preserve">It is observed from the system-level simulation results that </w:t>
      </w:r>
      <w:r>
        <w:rPr>
          <w:rFonts w:eastAsia="宋体"/>
          <w:i w:val="0"/>
          <w:iCs w:val="0"/>
          <w:sz w:val="21"/>
          <w:szCs w:val="21"/>
          <w:lang w:bidi="ar"/>
        </w:rPr>
        <w:t xml:space="preserve">the SSB-less SCell scheme can obtain </w:t>
      </w:r>
      <w:r>
        <w:rPr>
          <w:i w:val="0"/>
          <w:sz w:val="21"/>
          <w:szCs w:val="21"/>
        </w:rPr>
        <w:t>4.3%~22.6%</w:t>
      </w:r>
      <w:r>
        <w:rPr>
          <w:rFonts w:eastAsia="宋体"/>
          <w:i w:val="0"/>
          <w:iCs w:val="0"/>
          <w:sz w:val="21"/>
          <w:szCs w:val="21"/>
          <w:lang w:bidi="ar"/>
        </w:rPr>
        <w:t xml:space="preserve"> energy saving gain in the cases of RU=</w:t>
      </w:r>
      <w:r>
        <w:rPr>
          <w:i w:val="0"/>
          <w:sz w:val="21"/>
          <w:szCs w:val="21"/>
        </w:rPr>
        <w:t>4.9%~37.5%</w:t>
      </w:r>
      <w:r>
        <w:rPr>
          <w:i w:val="0"/>
          <w:iCs w:val="0"/>
          <w:sz w:val="21"/>
          <w:szCs w:val="21"/>
          <w:lang w:bidi="ar"/>
        </w:rPr>
        <w:t>, and</w:t>
      </w:r>
      <w:r>
        <w:rPr>
          <w:rFonts w:eastAsia="宋体"/>
          <w:i w:val="0"/>
          <w:iCs w:val="0"/>
          <w:sz w:val="21"/>
          <w:szCs w:val="21"/>
          <w:lang w:bidi="ar"/>
        </w:rPr>
        <w:t xml:space="preserve"> the SSB-less and SIB-less scheme can obtain </w:t>
      </w:r>
      <w:r>
        <w:rPr>
          <w:i w:val="0"/>
          <w:iCs w:val="0"/>
          <w:sz w:val="21"/>
          <w:szCs w:val="21"/>
        </w:rPr>
        <w:t>9.3% ~ 36.2%</w:t>
      </w:r>
      <w:r>
        <w:rPr>
          <w:rFonts w:eastAsia="宋体"/>
          <w:i w:val="0"/>
          <w:iCs w:val="0"/>
          <w:sz w:val="21"/>
          <w:szCs w:val="21"/>
          <w:lang w:bidi="ar"/>
        </w:rPr>
        <w:t xml:space="preserve"> energy saving gain in the cases of RU=</w:t>
      </w:r>
      <w:r>
        <w:rPr>
          <w:i w:val="0"/>
          <w:sz w:val="21"/>
          <w:szCs w:val="21"/>
        </w:rPr>
        <w:t>4.9%~37.9%</w:t>
      </w:r>
      <w:r>
        <w:rPr>
          <w:rFonts w:eastAsia="宋体"/>
          <w:i w:val="0"/>
          <w:iCs w:val="0"/>
          <w:sz w:val="21"/>
          <w:szCs w:val="21"/>
          <w:lang w:bidi="ar"/>
        </w:rPr>
        <w:t>.</w:t>
      </w:r>
      <w:r>
        <w:rPr>
          <w:rFonts w:eastAsia="宋体"/>
          <w:i w:val="0"/>
          <w:iCs w:val="0"/>
          <w:sz w:val="21"/>
          <w:szCs w:val="21"/>
          <w:lang w:bidi="ar"/>
        </w:rPr>
        <w:fldChar w:fldCharType="end"/>
      </w:r>
    </w:p>
    <w:p>
      <w:pPr>
        <w:spacing w:before="120" w:after="120"/>
        <w:rPr>
          <w:szCs w:val="21"/>
        </w:rPr>
      </w:pPr>
      <w:r>
        <w:rPr>
          <w:szCs w:val="21"/>
        </w:rPr>
        <w:fldChar w:fldCharType="end"/>
      </w:r>
    </w:p>
    <w:p>
      <w:pPr>
        <w:pStyle w:val="11"/>
        <w:tabs>
          <w:tab w:val="right" w:leader="dot" w:pos="9660"/>
          <w:tab w:val="clear" w:pos="0"/>
        </w:tabs>
        <w:spacing w:before="120" w:after="120"/>
        <w:jc w:val="both"/>
        <w:rPr>
          <w:sz w:val="21"/>
          <w:szCs w:val="21"/>
        </w:rPr>
      </w:pPr>
      <w:r>
        <w:rPr>
          <w:sz w:val="21"/>
          <w:szCs w:val="21"/>
        </w:rPr>
        <w:fldChar w:fldCharType="begin"/>
      </w:r>
      <w:r>
        <w:rPr>
          <w:sz w:val="21"/>
          <w:szCs w:val="21"/>
        </w:rPr>
        <w:instrText xml:space="preserve">TOC \n  \t "YJ-Proposal,1,sub-proposal,2,3rd level proposal,3" \h</w:instrText>
      </w:r>
      <w:r>
        <w:rPr>
          <w:sz w:val="21"/>
          <w:szCs w:val="21"/>
        </w:rPr>
        <w:fldChar w:fldCharType="separate"/>
      </w:r>
      <w:r>
        <w:fldChar w:fldCharType="begin"/>
      </w:r>
      <w:r>
        <w:instrText xml:space="preserve"> HYPERLINK \l "_Toc15490" </w:instrText>
      </w:r>
      <w:r>
        <w:fldChar w:fldCharType="separate"/>
      </w:r>
      <w:r>
        <w:rPr>
          <w:rFonts w:eastAsia="宋体"/>
          <w:i w:val="0"/>
          <w:iCs w:val="0"/>
          <w:sz w:val="21"/>
          <w:szCs w:val="21"/>
        </w:rPr>
        <w:t xml:space="preserve">Proposal 1: </w:t>
      </w:r>
      <w:r>
        <w:rPr>
          <w:i w:val="0"/>
          <w:iCs w:val="0"/>
          <w:sz w:val="21"/>
          <w:szCs w:val="21"/>
        </w:rPr>
        <w:t xml:space="preserve">The working assumption for reference configuration </w:t>
      </w:r>
      <w:r>
        <w:rPr>
          <w:i w:val="0"/>
          <w:sz w:val="21"/>
          <w:szCs w:val="21"/>
        </w:rPr>
        <w:t>of the number of TxRUs</w:t>
      </w:r>
      <w:r>
        <w:rPr>
          <w:i w:val="0"/>
          <w:iCs w:val="0"/>
          <w:sz w:val="21"/>
          <w:szCs w:val="21"/>
        </w:rPr>
        <w:t xml:space="preserve"> and the power level for FDD in FR1 and TDD in FR2 can be confirmed.</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"_Toc18232" </w:instrText>
      </w:r>
      <w:r>
        <w:fldChar w:fldCharType="separate"/>
      </w:r>
      <w:r>
        <w:rPr>
          <w:rFonts w:eastAsia="宋体"/>
          <w:i w:val="0"/>
          <w:iCs w:val="0"/>
          <w:sz w:val="21"/>
          <w:szCs w:val="21"/>
        </w:rPr>
        <w:t xml:space="preserve">Proposal 2: </w:t>
      </w:r>
      <w:r>
        <w:rPr>
          <w:i w:val="0"/>
          <w:sz w:val="21"/>
          <w:szCs w:val="21"/>
        </w:rPr>
        <w:t>It is more appropriate to define the power consumption model for different states per slot.</w:t>
      </w:r>
      <w:r>
        <w:rPr>
          <w:i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"_Toc5739" </w:instrText>
      </w:r>
      <w:r>
        <w:fldChar w:fldCharType="separate"/>
      </w:r>
      <w:r>
        <w:rPr>
          <w:rFonts w:eastAsia="宋体"/>
          <w:i w:val="0"/>
          <w:iCs w:val="0"/>
          <w:sz w:val="21"/>
          <w:szCs w:val="21"/>
        </w:rPr>
        <w:t xml:space="preserve">Proposal 3: </w:t>
      </w:r>
      <w:r>
        <w:rPr>
          <w:i w:val="0"/>
          <w:sz w:val="21"/>
          <w:szCs w:val="21"/>
        </w:rPr>
        <w:t>Scaling slot-level power with symbol occupancy can be used to derive the power consumption values for SSB/CSI-RS transmission, etc.</w:t>
      </w:r>
      <w:r>
        <w:rPr>
          <w:i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"_Toc14335" </w:instrText>
      </w:r>
      <w:r>
        <w:fldChar w:fldCharType="separate"/>
      </w:r>
      <w:r>
        <w:rPr>
          <w:rFonts w:eastAsia="宋体"/>
          <w:i w:val="0"/>
          <w:iCs w:val="0"/>
          <w:sz w:val="21"/>
          <w:szCs w:val="21"/>
        </w:rPr>
        <w:t xml:space="preserve">Proposal 4: </w:t>
      </w:r>
      <w:r>
        <w:rPr>
          <w:i w:val="0"/>
          <w:iCs w:val="0"/>
          <w:sz w:val="21"/>
          <w:szCs w:val="21"/>
        </w:rPr>
        <w:t>The DL and UL should be separately modeled for network energy consumption.</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"_Toc20006" </w:instrText>
      </w:r>
      <w:r>
        <w:fldChar w:fldCharType="separate"/>
      </w:r>
      <w:r>
        <w:rPr>
          <w:rFonts w:eastAsia="宋体"/>
          <w:i w:val="0"/>
          <w:iCs w:val="0"/>
          <w:sz w:val="21"/>
          <w:szCs w:val="21"/>
        </w:rPr>
        <w:t xml:space="preserve">Proposal 5: </w:t>
      </w:r>
      <w:r>
        <w:rPr>
          <w:i w:val="0"/>
          <w:iCs w:val="0"/>
          <w:sz w:val="21"/>
          <w:szCs w:val="21"/>
        </w:rPr>
        <w:t>The UL reception only requires a simplified energy consumption model.</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"_Toc25019" </w:instrText>
      </w:r>
      <w:r>
        <w:fldChar w:fldCharType="separate"/>
      </w:r>
      <w:r>
        <w:rPr>
          <w:rFonts w:eastAsia="宋体"/>
          <w:i w:val="0"/>
          <w:iCs w:val="0"/>
          <w:sz w:val="21"/>
          <w:szCs w:val="21"/>
        </w:rPr>
        <w:t xml:space="preserve">Proposal 6: </w:t>
      </w:r>
      <w:r>
        <w:rPr>
          <w:i w:val="0"/>
          <w:iCs w:val="0"/>
          <w:sz w:val="21"/>
          <w:szCs w:val="21"/>
        </w:rPr>
        <w:t>A DL state with full bandwidth and full symbol usage of the reference configuration needs to be determined regardless the specific contents in the transmission.</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"_Toc4302" </w:instrText>
      </w:r>
      <w:r>
        <w:fldChar w:fldCharType="separate"/>
      </w:r>
      <w:r>
        <w:rPr>
          <w:i w:val="0"/>
          <w:iCs w:val="0"/>
          <w:sz w:val="21"/>
          <w:szCs w:val="21"/>
        </w:rPr>
        <w:t> Alt-1: one power consumption value for all UL reception;</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"_Toc16977" </w:instrText>
      </w:r>
      <w:r>
        <w:fldChar w:fldCharType="separate"/>
      </w:r>
      <w:r>
        <w:rPr>
          <w:i w:val="0"/>
          <w:iCs w:val="0"/>
          <w:sz w:val="21"/>
          <w:szCs w:val="21"/>
        </w:rPr>
        <w:t> Alt-2: one reference power consumption value with multiple scaling factors for adaptation in different domain.</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"_Toc15619" </w:instrText>
      </w:r>
      <w:r>
        <w:fldChar w:fldCharType="separate"/>
      </w:r>
      <w:r>
        <w:rPr>
          <w:rFonts w:eastAsia="宋体"/>
          <w:i w:val="0"/>
          <w:iCs w:val="0"/>
          <w:sz w:val="21"/>
          <w:szCs w:val="21"/>
          <w:lang w:val="en-GB" w:eastAsia="en-US"/>
        </w:rPr>
        <w:t xml:space="preserve">Proposal 7: </w:t>
      </w:r>
      <w:r>
        <w:rPr>
          <w:i w:val="0"/>
          <w:sz w:val="21"/>
          <w:szCs w:val="21"/>
          <w:lang w:val="en-GB" w:eastAsia="en-US"/>
        </w:rPr>
        <w:t xml:space="preserve">For UL reception, the following option </w:t>
      </w:r>
      <w:r>
        <w:rPr>
          <w:i w:val="0"/>
          <w:sz w:val="21"/>
          <w:szCs w:val="21"/>
        </w:rPr>
        <w:t>is preferred.</w:t>
      </w:r>
      <w:r>
        <w:rPr>
          <w:i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"_Toc31979" </w:instrText>
      </w:r>
      <w:r>
        <w:fldChar w:fldCharType="separate"/>
      </w:r>
      <w:r>
        <w:rPr>
          <w:i w:val="0"/>
          <w:iCs w:val="0"/>
          <w:sz w:val="21"/>
          <w:szCs w:val="21"/>
        </w:rPr>
        <w:t> Alt-1: one power consumption value for all UL reception</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"_Toc21547" </w:instrText>
      </w:r>
      <w:r>
        <w:fldChar w:fldCharType="separate"/>
      </w:r>
      <w:r>
        <w:rPr>
          <w:rFonts w:eastAsia="宋体"/>
          <w:i w:val="0"/>
          <w:iCs w:val="0"/>
          <w:sz w:val="21"/>
          <w:szCs w:val="21"/>
          <w:lang w:val="en-GB" w:eastAsia="en-US"/>
        </w:rPr>
        <w:t xml:space="preserve">Proposal 8: </w:t>
      </w:r>
      <w:r>
        <w:rPr>
          <w:i w:val="0"/>
          <w:iCs w:val="0"/>
          <w:sz w:val="21"/>
          <w:szCs w:val="21"/>
        </w:rPr>
        <w:t>Three sleep modes including 0 transition time for micro sleep, hundreds of milliseconds transition time for light sleep and several seconds transition time for deep sleep can be defined at least for network DL energy consumption model.</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"_Toc21681" </w:instrText>
      </w:r>
      <w:r>
        <w:fldChar w:fldCharType="separate"/>
      </w:r>
      <w:r>
        <w:rPr>
          <w:rFonts w:eastAsia="宋体"/>
          <w:i w:val="0"/>
          <w:iCs w:val="0"/>
          <w:sz w:val="21"/>
          <w:szCs w:val="21"/>
        </w:rPr>
        <w:t xml:space="preserve">Proposal 9: </w:t>
      </w:r>
      <w:r>
        <w:rPr>
          <w:i w:val="0"/>
          <w:sz w:val="21"/>
          <w:szCs w:val="21"/>
        </w:rPr>
        <w:t>Further discuss whether to define the sleep modes separately for DL and UL.</w:t>
      </w:r>
      <w:r>
        <w:rPr>
          <w:i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"_Toc7873" </w:instrText>
      </w:r>
      <w:r>
        <w:fldChar w:fldCharType="separate"/>
      </w:r>
      <w:r>
        <w:rPr>
          <w:rFonts w:eastAsia="宋体"/>
          <w:i w:val="0"/>
          <w:iCs w:val="0"/>
          <w:sz w:val="21"/>
          <w:szCs w:val="21"/>
        </w:rPr>
        <w:t xml:space="preserve">Proposal 10: </w:t>
      </w:r>
      <w:r>
        <w:rPr>
          <w:i w:val="0"/>
          <w:iCs w:val="0"/>
          <w:sz w:val="21"/>
          <w:szCs w:val="21"/>
        </w:rPr>
        <w:t>A direct transition scheme between active state and sleep modes should be adopted.</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"_Toc604" </w:instrText>
      </w:r>
      <w:r>
        <w:fldChar w:fldCharType="separate"/>
      </w:r>
      <w:r>
        <w:rPr>
          <w:rFonts w:eastAsia="宋体"/>
          <w:i w:val="0"/>
          <w:iCs w:val="0"/>
          <w:sz w:val="21"/>
          <w:szCs w:val="21"/>
        </w:rPr>
        <w:t xml:space="preserve">Proposal 11: </w:t>
      </w:r>
      <w:r>
        <w:rPr>
          <w:i w:val="0"/>
          <w:sz w:val="21"/>
          <w:szCs w:val="21"/>
        </w:rPr>
        <w:t>Same relative power value can be considered for TDD and FDD in FR1</w:t>
      </w:r>
      <w:r>
        <w:rPr>
          <w:i w:val="0"/>
          <w:iCs w:val="0"/>
          <w:sz w:val="21"/>
          <w:szCs w:val="21"/>
        </w:rPr>
        <w:t>.</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"_Toc25623" </w:instrText>
      </w:r>
      <w:r>
        <w:fldChar w:fldCharType="separate"/>
      </w:r>
      <w:r>
        <w:rPr>
          <w:rFonts w:eastAsia="宋体"/>
          <w:i w:val="0"/>
          <w:iCs w:val="0"/>
          <w:sz w:val="21"/>
          <w:szCs w:val="21"/>
        </w:rPr>
        <w:t xml:space="preserve">Proposal 12: </w:t>
      </w:r>
      <w:r>
        <w:rPr>
          <w:i w:val="0"/>
          <w:iCs w:val="0"/>
          <w:sz w:val="21"/>
          <w:szCs w:val="21"/>
        </w:rPr>
        <w:t>Table 1 and Table 2 can be taken as a starting point for network power consumption model.</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"_Toc25456" </w:instrText>
      </w:r>
      <w:r>
        <w:fldChar w:fldCharType="separate"/>
      </w:r>
      <w:r>
        <w:rPr>
          <w:rFonts w:eastAsia="宋体"/>
          <w:i w:val="0"/>
          <w:iCs w:val="0"/>
          <w:sz w:val="21"/>
          <w:szCs w:val="21"/>
        </w:rPr>
        <w:t xml:space="preserve">Proposal 13: </w:t>
      </w:r>
      <w:r>
        <w:rPr>
          <w:i w:val="0"/>
          <w:iCs w:val="0"/>
          <w:sz w:val="21"/>
          <w:szCs w:val="21"/>
        </w:rPr>
        <w:t>Table 3 can be considered as a starting point of the scaling factors of network power consumption model.</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"_Toc18384" </w:instrText>
      </w:r>
      <w:r>
        <w:fldChar w:fldCharType="separate"/>
      </w:r>
      <w:r>
        <w:rPr>
          <w:rFonts w:eastAsia="宋体"/>
          <w:i w:val="0"/>
          <w:iCs w:val="0"/>
          <w:sz w:val="21"/>
          <w:szCs w:val="21"/>
        </w:rPr>
        <w:t xml:space="preserve">Proposal 14: </w:t>
      </w:r>
      <w:r>
        <w:rPr>
          <w:i w:val="0"/>
          <w:iCs w:val="0"/>
          <w:sz w:val="21"/>
          <w:szCs w:val="21"/>
        </w:rPr>
        <w:t>The traffic load can be defined as following</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"_Toc3301" </w:instrText>
      </w:r>
      <w:r>
        <w:fldChar w:fldCharType="separate"/>
      </w:r>
      <w:r>
        <w:rPr>
          <w:bCs w:val="0"/>
          <w:i w:val="0"/>
          <w:sz w:val="21"/>
          <w:szCs w:val="21"/>
        </w:rPr>
        <w:t> idle/ empty load: only common signal/channel, such as SSB and SIB is transmitted in DL;</w:t>
      </w:r>
      <w:r>
        <w:rPr>
          <w:bCs w:val="0"/>
          <w:i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"_Toc13623" </w:instrText>
      </w:r>
      <w:r>
        <w:fldChar w:fldCharType="separate"/>
      </w:r>
      <w:r>
        <w:rPr>
          <w:i w:val="0"/>
          <w:sz w:val="21"/>
          <w:szCs w:val="21"/>
        </w:rPr>
        <w:t xml:space="preserve"> </w:t>
      </w:r>
      <w:r>
        <w:rPr>
          <w:bCs w:val="0"/>
          <w:i w:val="0"/>
          <w:sz w:val="21"/>
          <w:szCs w:val="21"/>
        </w:rPr>
        <w:t>low load: &lt;20%</w:t>
      </w:r>
      <w:r>
        <w:rPr>
          <w:i w:val="0"/>
          <w:sz w:val="21"/>
          <w:szCs w:val="21"/>
        </w:rPr>
        <w:t xml:space="preserve"> PRB </w:t>
      </w:r>
      <w:r>
        <w:rPr>
          <w:bCs w:val="0"/>
          <w:i w:val="0"/>
          <w:sz w:val="21"/>
          <w:szCs w:val="21"/>
        </w:rPr>
        <w:t>utilization;</w:t>
      </w:r>
      <w:r>
        <w:rPr>
          <w:bCs w:val="0"/>
          <w:i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"_Toc6206" </w:instrText>
      </w:r>
      <w:r>
        <w:fldChar w:fldCharType="separate"/>
      </w:r>
      <w:r>
        <w:rPr>
          <w:bCs w:val="0"/>
          <w:i w:val="0"/>
          <w:sz w:val="21"/>
          <w:szCs w:val="21"/>
        </w:rPr>
        <w:t> Medium load: 20%~</w:t>
      </w:r>
      <w:r>
        <w:rPr>
          <w:i w:val="0"/>
          <w:sz w:val="21"/>
          <w:szCs w:val="21"/>
        </w:rPr>
        <w:t xml:space="preserve">50 % PRB </w:t>
      </w:r>
      <w:r>
        <w:rPr>
          <w:bCs w:val="0"/>
          <w:i w:val="0"/>
          <w:sz w:val="21"/>
          <w:szCs w:val="21"/>
        </w:rPr>
        <w:t>utilization.</w:t>
      </w:r>
      <w:r>
        <w:rPr>
          <w:bCs w:val="0"/>
          <w:i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"_Toc21281" </w:instrText>
      </w:r>
      <w:r>
        <w:fldChar w:fldCharType="separate"/>
      </w:r>
      <w:r>
        <w:rPr>
          <w:rFonts w:eastAsia="宋体"/>
          <w:i w:val="0"/>
          <w:iCs w:val="0"/>
          <w:sz w:val="21"/>
          <w:szCs w:val="21"/>
        </w:rPr>
        <w:t xml:space="preserve">Proposal 15: </w:t>
      </w:r>
      <w:r>
        <w:rPr>
          <w:i w:val="0"/>
          <w:iCs w:val="0"/>
          <w:sz w:val="21"/>
          <w:szCs w:val="21"/>
        </w:rPr>
        <w:t>The resources occupied by SSBs and SIBs are not accounted in the PRB utilization.</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"_Toc20160" </w:instrText>
      </w:r>
      <w:r>
        <w:fldChar w:fldCharType="separate"/>
      </w:r>
      <w:r>
        <w:rPr>
          <w:rFonts w:eastAsia="宋体"/>
          <w:i w:val="0"/>
          <w:iCs w:val="0"/>
          <w:sz w:val="21"/>
          <w:szCs w:val="21"/>
        </w:rPr>
        <w:t xml:space="preserve">Proposal 16: </w:t>
      </w:r>
      <w:r>
        <w:rPr>
          <w:i w:val="0"/>
          <w:sz w:val="21"/>
          <w:szCs w:val="21"/>
        </w:rPr>
        <w:t xml:space="preserve">FTP3 (0.5MB as packet size, 200ms as mean inter-arrival time) and FTP3 IM (0.1MB as packet size, 2s as mean inter-arrival time) </w:t>
      </w:r>
      <w:r>
        <w:rPr>
          <w:i w:val="0"/>
          <w:iCs w:val="0"/>
          <w:sz w:val="21"/>
          <w:szCs w:val="21"/>
        </w:rPr>
        <w:t>can be used to simulate UL traffic.</w:t>
      </w:r>
      <w:r>
        <w:rPr>
          <w:i w:val="0"/>
          <w:iCs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"_Toc3710" </w:instrText>
      </w:r>
      <w:r>
        <w:fldChar w:fldCharType="separate"/>
      </w:r>
      <w:r>
        <w:rPr>
          <w:rFonts w:eastAsia="宋体"/>
          <w:i w:val="0"/>
          <w:iCs w:val="0"/>
          <w:sz w:val="21"/>
          <w:szCs w:val="21"/>
        </w:rPr>
        <w:t xml:space="preserve">Proposal 17: </w:t>
      </w:r>
      <w:r>
        <w:rPr>
          <w:i w:val="0"/>
          <w:iCs w:val="0"/>
          <w:sz w:val="21"/>
          <w:szCs w:val="21"/>
        </w:rPr>
        <w:t xml:space="preserve">The simulation assumption in </w:t>
      </w:r>
      <w:r>
        <w:rPr>
          <w:i w:val="0"/>
          <w:sz w:val="21"/>
          <w:szCs w:val="21"/>
        </w:rPr>
        <w:t>Table A1 in appendix can be considered as a start point for the system level simulation assumption for network energy savings.</w:t>
      </w:r>
      <w:r>
        <w:rPr>
          <w:i w:val="0"/>
          <w:sz w:val="21"/>
          <w:szCs w:val="21"/>
        </w:rPr>
        <w:fldChar w:fldCharType="end"/>
      </w:r>
    </w:p>
    <w:p>
      <w:pPr>
        <w:pStyle w:val="11"/>
        <w:tabs>
          <w:tab w:val="right" w:leader="dot" w:pos="9660"/>
          <w:tab w:val="clear" w:pos="0"/>
        </w:tabs>
        <w:spacing w:before="120" w:after="120"/>
        <w:jc w:val="both"/>
        <w:rPr>
          <w:sz w:val="21"/>
          <w:szCs w:val="21"/>
        </w:rPr>
      </w:pPr>
      <w:r>
        <w:fldChar w:fldCharType="begin"/>
      </w:r>
      <w:r>
        <w:instrText xml:space="preserve"> HYPERLINK \l "_Toc30342" </w:instrText>
      </w:r>
      <w:r>
        <w:fldChar w:fldCharType="separate"/>
      </w:r>
      <w:r>
        <w:rPr>
          <w:rFonts w:eastAsia="宋体"/>
          <w:i w:val="0"/>
          <w:iCs w:val="0"/>
          <w:sz w:val="21"/>
          <w:szCs w:val="21"/>
        </w:rPr>
        <w:t xml:space="preserve">Proposal 18: </w:t>
      </w:r>
      <w:r>
        <w:rPr>
          <w:i w:val="0"/>
          <w:sz w:val="21"/>
          <w:szCs w:val="21"/>
        </w:rPr>
        <w:t>The simulation assumption in Table 4 can be considered in the baseline setting for the system level simulation.</w:t>
      </w:r>
      <w:r>
        <w:rPr>
          <w:i w:val="0"/>
          <w:sz w:val="21"/>
          <w:szCs w:val="21"/>
        </w:rPr>
        <w:fldChar w:fldCharType="end"/>
      </w:r>
    </w:p>
    <w:p>
      <w:pPr>
        <w:spacing w:before="120" w:after="120"/>
      </w:pPr>
      <w:r>
        <w:rPr>
          <w:szCs w:val="21"/>
        </w:rPr>
        <w:fldChar w:fldCharType="end"/>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References</w:t>
      </w:r>
    </w:p>
    <w:p>
      <w:pPr>
        <w:pStyle w:val="33"/>
        <w:spacing w:before="120" w:after="120"/>
        <w:ind w:left="363" w:hanging="363"/>
        <w:rPr>
          <w:szCs w:val="20"/>
        </w:rPr>
      </w:pPr>
      <w:bookmarkStart w:id="73" w:name="_Ref17466"/>
      <w:r>
        <w:rPr>
          <w:rFonts w:hint="eastAsia"/>
          <w:sz w:val="20"/>
        </w:rPr>
        <w:t>Chair's notes RAN1#109-e, 2022-05.</w:t>
      </w:r>
    </w:p>
    <w:bookmarkEnd w:id="73"/>
    <w:p>
      <w:pPr>
        <w:pStyle w:val="33"/>
        <w:spacing w:before="120" w:after="120"/>
        <w:rPr>
          <w:szCs w:val="20"/>
        </w:rPr>
      </w:pPr>
      <w:bookmarkStart w:id="74" w:name="OLE_LINK5"/>
      <w:r>
        <w:rPr>
          <w:rFonts w:hint="eastAsia"/>
          <w:szCs w:val="20"/>
        </w:rPr>
        <w:t>3GPP TR 38.840, V16.0.0, 2019-06.</w:t>
      </w:r>
      <w:bookmarkEnd w:id="74"/>
    </w:p>
    <w:p>
      <w:pPr>
        <w:pStyle w:val="33"/>
        <w:spacing w:before="120" w:after="120"/>
        <w:rPr>
          <w:szCs w:val="20"/>
        </w:rPr>
      </w:pPr>
      <w:r>
        <w:rPr>
          <w:rFonts w:hint="eastAsia"/>
          <w:szCs w:val="20"/>
        </w:rPr>
        <w:t>ETSI ES 202 706-1 V1.6.1, 2021-01.</w:t>
      </w:r>
    </w:p>
    <w:p>
      <w:pPr>
        <w:pStyle w:val="33"/>
        <w:spacing w:before="120" w:after="120"/>
        <w:rPr>
          <w:szCs w:val="20"/>
        </w:rPr>
      </w:pPr>
      <w:r>
        <w:rPr>
          <w:rFonts w:hint="eastAsia"/>
          <w:szCs w:val="20"/>
        </w:rPr>
        <w:t>3GPP TR 38.838, V17.0.0, 2021-12.</w:t>
      </w:r>
    </w:p>
    <w:p>
      <w:pPr>
        <w:pStyle w:val="33"/>
        <w:spacing w:before="120" w:after="120"/>
        <w:rPr>
          <w:szCs w:val="20"/>
        </w:rPr>
      </w:pPr>
      <w:r>
        <w:rPr>
          <w:rFonts w:hint="eastAsia"/>
          <w:szCs w:val="20"/>
        </w:rPr>
        <w:t>3GPP TR 38.901, V17.0.0, 2022-03.</w:t>
      </w:r>
    </w:p>
    <w:p>
      <w:pPr>
        <w:spacing w:beforeLines="0" w:afterLines="0"/>
        <w:jc w:val="left"/>
      </w:pP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Appendix</w:t>
      </w:r>
    </w:p>
    <w:p>
      <w:pPr>
        <w:pStyle w:val="5"/>
        <w:spacing w:before="120" w:after="120"/>
        <w:jc w:val="center"/>
        <w:rPr>
          <w:rFonts w:ascii="Times New Roman" w:hAnsi="Times New Roman"/>
          <w:sz w:val="21"/>
          <w:szCs w:val="21"/>
        </w:rPr>
      </w:pPr>
      <w:r>
        <w:rPr>
          <w:rFonts w:ascii="Times New Roman" w:hAnsi="Times New Roman"/>
          <w:sz w:val="21"/>
          <w:szCs w:val="21"/>
        </w:rPr>
        <w:t xml:space="preserve">Table A1 </w:t>
      </w:r>
      <w:r>
        <w:rPr>
          <w:rFonts w:hint="eastAsia" w:ascii="Times New Roman" w:hAnsi="Times New Roman"/>
          <w:sz w:val="21"/>
          <w:szCs w:val="21"/>
        </w:rPr>
        <w:t>E</w:t>
      </w:r>
      <w:r>
        <w:rPr>
          <w:rFonts w:ascii="Times New Roman" w:hAnsi="Times New Roman"/>
          <w:sz w:val="21"/>
          <w:szCs w:val="21"/>
        </w:rPr>
        <w:t xml:space="preserve">valuation assumptions </w:t>
      </w:r>
      <w:r>
        <w:rPr>
          <w:rFonts w:hint="eastAsia" w:ascii="Times New Roman" w:hAnsi="Times New Roman"/>
          <w:sz w:val="21"/>
          <w:szCs w:val="21"/>
        </w:rPr>
        <w:t>on</w:t>
      </w:r>
      <w:r>
        <w:rPr>
          <w:rFonts w:ascii="Times New Roman" w:hAnsi="Times New Roman"/>
          <w:sz w:val="21"/>
          <w:szCs w:val="21"/>
        </w:rPr>
        <w:t xml:space="preserve"> basic simulation parameters</w:t>
      </w:r>
      <w:r>
        <w:rPr>
          <w:rFonts w:hint="eastAsia" w:ascii="Times New Roman" w:hAnsi="Times New Roman"/>
          <w:sz w:val="21"/>
          <w:szCs w:val="21"/>
        </w:rPr>
        <w:t xml:space="preserve"> for UMa scenario</w:t>
      </w:r>
    </w:p>
    <w:p>
      <w:pPr>
        <w:spacing w:before="120" w:after="120"/>
        <w:rPr>
          <w:szCs w:val="21"/>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3823"/>
        <w:gridCol w:w="3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rPr>
                <w:b/>
                <w:bCs/>
                <w:szCs w:val="21"/>
              </w:rPr>
            </w:pPr>
            <w:r>
              <w:rPr>
                <w:b/>
                <w:bCs/>
                <w:szCs w:val="21"/>
                <w:lang w:eastAsia="ko-KR"/>
              </w:rPr>
              <w:t>Parameters</w:t>
            </w:r>
          </w:p>
        </w:tc>
        <w:tc>
          <w:tcPr>
            <w:tcW w:w="7646" w:type="dxa"/>
            <w:gridSpan w:val="2"/>
            <w:vAlign w:val="center"/>
          </w:tcPr>
          <w:p>
            <w:pPr>
              <w:spacing w:before="120" w:after="120"/>
              <w:jc w:val="center"/>
              <w:rPr>
                <w:b/>
                <w:bCs/>
                <w:szCs w:val="21"/>
              </w:rPr>
            </w:pPr>
            <w:r>
              <w:rPr>
                <w:b/>
                <w:bCs/>
                <w:szCs w:val="21"/>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rPr>
                <w:szCs w:val="21"/>
                <w:lang w:eastAsia="ko-KR"/>
              </w:rPr>
            </w:pPr>
            <w:r>
              <w:t>Duplex Mode / Simulation bandwidth</w:t>
            </w:r>
          </w:p>
        </w:tc>
        <w:tc>
          <w:tcPr>
            <w:tcW w:w="3823" w:type="dxa"/>
            <w:vAlign w:val="center"/>
          </w:tcPr>
          <w:p>
            <w:pPr>
              <w:spacing w:before="120" w:after="120"/>
              <w:jc w:val="center"/>
              <w:rPr>
                <w:szCs w:val="21"/>
                <w:lang w:eastAsia="ko-KR"/>
              </w:rPr>
            </w:pPr>
            <w:r>
              <w:t>TDD/100 MHz</w:t>
            </w:r>
          </w:p>
        </w:tc>
        <w:tc>
          <w:tcPr>
            <w:tcW w:w="3823" w:type="dxa"/>
            <w:vAlign w:val="center"/>
          </w:tcPr>
          <w:p>
            <w:pPr>
              <w:spacing w:before="120" w:after="120"/>
              <w:jc w:val="center"/>
            </w:pPr>
            <w:r>
              <w:rPr>
                <w:rFonts w:hint="eastAsia"/>
              </w:rPr>
              <w:t>FDD/20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rPr>
                <w:szCs w:val="21"/>
                <w:lang w:eastAsia="ko-KR"/>
              </w:rPr>
            </w:pPr>
            <w:r>
              <w:t>Scenario</w:t>
            </w:r>
          </w:p>
        </w:tc>
        <w:tc>
          <w:tcPr>
            <w:tcW w:w="7646" w:type="dxa"/>
            <w:gridSpan w:val="2"/>
            <w:vAlign w:val="center"/>
          </w:tcPr>
          <w:p>
            <w:pPr>
              <w:pStyle w:val="46"/>
              <w:spacing w:before="120" w:after="120"/>
              <w:rPr>
                <w:rFonts w:ascii="Times New Roman" w:hAnsi="Times New Roman"/>
                <w:sz w:val="21"/>
              </w:rPr>
            </w:pPr>
            <w:r>
              <w:rPr>
                <w:rFonts w:ascii="Times New Roman" w:hAnsi="Times New Roman"/>
                <w:sz w:val="21"/>
              </w:rPr>
              <w:t>Urban Macro</w:t>
            </w:r>
            <w:r>
              <w:rPr>
                <w:rFonts w:hint="eastAsia" w:ascii="Times New Roman" w:hAnsi="Times New Roman"/>
                <w:sz w:val="21"/>
              </w:rPr>
              <w:t>;</w:t>
            </w:r>
          </w:p>
          <w:p>
            <w:pPr>
              <w:spacing w:before="120" w:after="120"/>
              <w:jc w:val="center"/>
              <w:rPr>
                <w:lang w:eastAsia="ko-KR"/>
              </w:rPr>
            </w:pPr>
            <w:r>
              <w:rPr>
                <w:lang w:eastAsia="ko-KR"/>
              </w:rPr>
              <w:t>Hexagonal grid, 19 macro sites, 3 sectors per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rPr>
                <w:szCs w:val="21"/>
                <w:lang w:eastAsia="ko-KR"/>
              </w:rPr>
            </w:pPr>
            <w:r>
              <w:t>Inter-BS distance</w:t>
            </w:r>
          </w:p>
        </w:tc>
        <w:tc>
          <w:tcPr>
            <w:tcW w:w="7646" w:type="dxa"/>
            <w:gridSpan w:val="2"/>
            <w:vAlign w:val="center"/>
          </w:tcPr>
          <w:p>
            <w:pPr>
              <w:spacing w:before="120" w:after="120"/>
              <w:jc w:val="center"/>
            </w:pPr>
            <w: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rPr>
                <w:szCs w:val="21"/>
                <w:lang w:eastAsia="ko-KR"/>
              </w:rPr>
            </w:pPr>
            <w:r>
              <w:rPr>
                <w:lang w:val="fr-FR" w:eastAsia="ko-KR"/>
              </w:rPr>
              <w:t>Min. BS - U</w:t>
            </w:r>
            <w:r>
              <w:rPr>
                <w:rFonts w:hint="eastAsia"/>
              </w:rPr>
              <w:t>E</w:t>
            </w:r>
            <w:r>
              <w:rPr>
                <w:lang w:val="fr-FR" w:eastAsia="ko-KR"/>
              </w:rPr>
              <w:t xml:space="preserve"> distance</w:t>
            </w:r>
          </w:p>
        </w:tc>
        <w:tc>
          <w:tcPr>
            <w:tcW w:w="7646" w:type="dxa"/>
            <w:gridSpan w:val="2"/>
            <w:vAlign w:val="center"/>
          </w:tcPr>
          <w:p>
            <w:pPr>
              <w:spacing w:before="120" w:after="120"/>
              <w:jc w:val="center"/>
              <w:rPr>
                <w:lang w:eastAsia="ko-KR"/>
              </w:rPr>
            </w:pPr>
            <w:r>
              <w:rPr>
                <w:lang w:eastAsia="ko-KR"/>
              </w:rPr>
              <w:t>35m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rPr>
                <w:szCs w:val="21"/>
                <w:lang w:eastAsia="ko-KR"/>
              </w:rPr>
            </w:pPr>
            <w:r>
              <w:t>Carrier frequency</w:t>
            </w:r>
          </w:p>
        </w:tc>
        <w:tc>
          <w:tcPr>
            <w:tcW w:w="3823" w:type="dxa"/>
            <w:vAlign w:val="center"/>
          </w:tcPr>
          <w:p>
            <w:pPr>
              <w:spacing w:before="120" w:after="120"/>
              <w:jc w:val="center"/>
              <w:rPr>
                <w:szCs w:val="21"/>
              </w:rPr>
            </w:pPr>
            <w:r>
              <w:t>2.3G; 2</w:t>
            </w:r>
            <w:r>
              <w:rPr>
                <w:rFonts w:hint="eastAsia"/>
              </w:rPr>
              <w:t xml:space="preserve">.6 </w:t>
            </w:r>
            <w:r>
              <w:t xml:space="preserve">GHz; </w:t>
            </w:r>
            <w:r>
              <w:rPr>
                <w:rFonts w:hint="eastAsia"/>
              </w:rPr>
              <w:t>3.5 GHz; 4GHz</w:t>
            </w:r>
          </w:p>
        </w:tc>
        <w:tc>
          <w:tcPr>
            <w:tcW w:w="3823" w:type="dxa"/>
            <w:vAlign w:val="center"/>
          </w:tcPr>
          <w:p>
            <w:pPr>
              <w:spacing w:before="120" w:after="120"/>
              <w:jc w:val="center"/>
            </w:pPr>
            <w:r>
              <w:rPr>
                <w:rFonts w:hint="eastAsia"/>
              </w:rPr>
              <w:t>2.1GHz;800MHz;900MHz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rPr>
                <w:szCs w:val="21"/>
                <w:lang w:eastAsia="ko-KR"/>
              </w:rPr>
            </w:pPr>
            <w:r>
              <w:t>SCS</w:t>
            </w:r>
          </w:p>
        </w:tc>
        <w:tc>
          <w:tcPr>
            <w:tcW w:w="3823" w:type="dxa"/>
            <w:vAlign w:val="center"/>
          </w:tcPr>
          <w:p>
            <w:pPr>
              <w:spacing w:before="120" w:after="120"/>
              <w:jc w:val="center"/>
              <w:rPr>
                <w:szCs w:val="21"/>
              </w:rPr>
            </w:pPr>
            <w:r>
              <w:t>30KHz</w:t>
            </w:r>
          </w:p>
        </w:tc>
        <w:tc>
          <w:tcPr>
            <w:tcW w:w="3823" w:type="dxa"/>
            <w:vAlign w:val="center"/>
          </w:tcPr>
          <w:p>
            <w:pPr>
              <w:spacing w:before="120" w:after="120"/>
              <w:jc w:val="center"/>
            </w:pPr>
            <w:r>
              <w:rPr>
                <w:rFonts w:hint="eastAsia"/>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rPr>
                <w:szCs w:val="21"/>
                <w:lang w:eastAsia="ko-KR"/>
              </w:rPr>
            </w:pPr>
            <w:r>
              <w:t>TDD pattern</w:t>
            </w:r>
          </w:p>
        </w:tc>
        <w:tc>
          <w:tcPr>
            <w:tcW w:w="3823" w:type="dxa"/>
            <w:vAlign w:val="center"/>
          </w:tcPr>
          <w:p>
            <w:pPr>
              <w:spacing w:before="120" w:after="120"/>
              <w:jc w:val="center"/>
              <w:rPr>
                <w:szCs w:val="21"/>
              </w:rPr>
            </w:pPr>
            <w:r>
              <w:t>DDDSU</w:t>
            </w:r>
          </w:p>
        </w:tc>
        <w:tc>
          <w:tcPr>
            <w:tcW w:w="3823" w:type="dxa"/>
            <w:vAlign w:val="center"/>
          </w:tcPr>
          <w:p>
            <w:pPr>
              <w:spacing w:before="120" w:after="120"/>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rPr>
                <w:szCs w:val="21"/>
                <w:lang w:eastAsia="ko-KR"/>
              </w:rPr>
            </w:pPr>
            <w:r>
              <w:t>BS Antenna Configuration</w:t>
            </w:r>
          </w:p>
        </w:tc>
        <w:tc>
          <w:tcPr>
            <w:tcW w:w="3823" w:type="dxa"/>
            <w:vAlign w:val="center"/>
          </w:tcPr>
          <w:p>
            <w:pPr>
              <w:spacing w:before="120" w:after="120"/>
              <w:jc w:val="center"/>
              <w:textAlignment w:val="center"/>
            </w:pPr>
            <w:r>
              <w:t>64Tx antenna ports, and (dH, dV) = (0.5λ, 0.5λ);</w:t>
            </w:r>
          </w:p>
          <w:p>
            <w:pPr>
              <w:spacing w:before="120" w:after="120"/>
              <w:jc w:val="center"/>
              <w:textAlignment w:val="center"/>
            </w:pPr>
            <w:r>
              <w:t>64T</w:t>
            </w:r>
            <w:r>
              <w:rPr>
                <w:rFonts w:hint="eastAsia"/>
              </w:rPr>
              <w:t>x</w:t>
            </w:r>
            <w:r>
              <w:t>:</w:t>
            </w:r>
            <w:r>
              <w:rPr>
                <w:rFonts w:hint="eastAsia"/>
              </w:rPr>
              <w:t xml:space="preserve"> (M, N, P, Mg, Ng; Mp, Np) = (8,8,2,1,1; 4,8)</w:t>
            </w:r>
          </w:p>
          <w:p>
            <w:pPr>
              <w:spacing w:before="120" w:after="120"/>
              <w:jc w:val="center"/>
            </w:pPr>
            <w:r>
              <w:t>The antenna tilt is 12 degrees.</w:t>
            </w:r>
          </w:p>
        </w:tc>
        <w:tc>
          <w:tcPr>
            <w:tcW w:w="3823" w:type="dxa"/>
            <w:vAlign w:val="center"/>
          </w:tcPr>
          <w:p>
            <w:pPr>
              <w:spacing w:before="120" w:after="120"/>
              <w:jc w:val="center"/>
              <w:textAlignment w:val="center"/>
            </w:pPr>
            <w:r>
              <w:rPr>
                <w:rFonts w:hint="eastAsia"/>
              </w:rPr>
              <w:t>32</w:t>
            </w:r>
            <w:r>
              <w:t>Tx antenna ports, and (dH, dV) = (0.5λ, 0.5λ);</w:t>
            </w:r>
          </w:p>
          <w:p>
            <w:pPr>
              <w:spacing w:before="120" w:after="120"/>
              <w:jc w:val="center"/>
              <w:textAlignment w:val="center"/>
            </w:pPr>
            <w:r>
              <w:rPr>
                <w:rFonts w:hint="eastAsia"/>
              </w:rPr>
              <w:t>32</w:t>
            </w:r>
            <w:r>
              <w:t>T</w:t>
            </w:r>
            <w:r>
              <w:rPr>
                <w:rFonts w:hint="eastAsia"/>
              </w:rPr>
              <w:t>x</w:t>
            </w:r>
            <w:r>
              <w:t>:</w:t>
            </w:r>
            <w:r>
              <w:rPr>
                <w:rFonts w:hint="eastAsia"/>
              </w:rPr>
              <w:t xml:space="preserve"> (M, N, P, Mg, Ng) = (8,4,2,1,1)</w:t>
            </w:r>
          </w:p>
          <w:p>
            <w:pPr>
              <w:spacing w:before="120" w:after="120"/>
              <w:jc w:val="center"/>
            </w:pPr>
            <w:r>
              <w:t>The antenna tilt is 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rPr>
                <w:szCs w:val="21"/>
                <w:lang w:eastAsia="ko-KR"/>
              </w:rPr>
            </w:pPr>
            <w:r>
              <w:t>UE Antenna Configuration</w:t>
            </w:r>
          </w:p>
        </w:tc>
        <w:tc>
          <w:tcPr>
            <w:tcW w:w="7646" w:type="dxa"/>
            <w:gridSpan w:val="2"/>
            <w:vAlign w:val="center"/>
          </w:tcPr>
          <w:p>
            <w:pPr>
              <w:spacing w:before="120" w:after="120"/>
              <w:jc w:val="center"/>
              <w:textAlignment w:val="center"/>
            </w:pPr>
            <w:r>
              <w:t>4 Rx antenna ports, and dH = 0.5λ</w:t>
            </w:r>
          </w:p>
          <w:p>
            <w:pPr>
              <w:spacing w:before="120" w:after="120"/>
              <w:jc w:val="center"/>
            </w:pPr>
            <w:r>
              <w:t>4 Rx: (M, N, P, Mg, Ng; Mp, Np) = (1,2,2,1,1;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rPr>
                <w:szCs w:val="21"/>
                <w:lang w:eastAsia="ko-KR"/>
              </w:rPr>
            </w:pPr>
            <w:r>
              <w:rPr>
                <w:rFonts w:hint="eastAsia"/>
              </w:rPr>
              <w:t>Total DL power level</w:t>
            </w:r>
          </w:p>
        </w:tc>
        <w:tc>
          <w:tcPr>
            <w:tcW w:w="3823" w:type="dxa"/>
            <w:vAlign w:val="center"/>
          </w:tcPr>
          <w:p>
            <w:pPr>
              <w:spacing w:before="120" w:after="120"/>
              <w:jc w:val="center"/>
              <w:rPr>
                <w:szCs w:val="21"/>
              </w:rPr>
            </w:pPr>
            <w:r>
              <w:rPr>
                <w:rFonts w:hint="eastAsia"/>
              </w:rPr>
              <w:t>55dBm</w:t>
            </w:r>
          </w:p>
        </w:tc>
        <w:tc>
          <w:tcPr>
            <w:tcW w:w="3823" w:type="dxa"/>
            <w:vAlign w:val="center"/>
          </w:tcPr>
          <w:p>
            <w:pPr>
              <w:spacing w:before="120" w:after="120"/>
              <w:jc w:val="center"/>
            </w:pPr>
            <w:r>
              <w:rPr>
                <w:rFonts w:hint="eastAsia"/>
              </w:rPr>
              <w:t>49dBm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pPr>
            <w:r>
              <w:rPr>
                <w:rFonts w:hint="eastAsia"/>
              </w:rPr>
              <w:t>UE transmit power</w:t>
            </w:r>
          </w:p>
        </w:tc>
        <w:tc>
          <w:tcPr>
            <w:tcW w:w="7646" w:type="dxa"/>
            <w:gridSpan w:val="2"/>
            <w:vAlign w:val="center"/>
          </w:tcPr>
          <w:p>
            <w:pPr>
              <w:spacing w:before="120" w:after="120"/>
              <w:jc w:val="center"/>
            </w:pPr>
            <w:r>
              <w:t>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rPr>
                <w:szCs w:val="21"/>
                <w:lang w:eastAsia="ko-KR"/>
              </w:rPr>
            </w:pPr>
            <w:r>
              <w:t>Antenna Height</w:t>
            </w:r>
          </w:p>
        </w:tc>
        <w:tc>
          <w:tcPr>
            <w:tcW w:w="7646" w:type="dxa"/>
            <w:gridSpan w:val="2"/>
            <w:vAlign w:val="center"/>
          </w:tcPr>
          <w:p>
            <w:pPr>
              <w:spacing w:before="120" w:after="120"/>
              <w:jc w:val="center"/>
            </w:pPr>
            <w:r>
              <w:t>25 m for BS and 1.5 m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spacing w:before="120" w:after="120"/>
              <w:jc w:val="center"/>
              <w:rPr>
                <w:szCs w:val="21"/>
                <w:lang w:eastAsia="ko-KR"/>
              </w:rPr>
            </w:pPr>
            <w:r>
              <w:t>Antenna Element Gain</w:t>
            </w:r>
          </w:p>
        </w:tc>
        <w:tc>
          <w:tcPr>
            <w:tcW w:w="7646" w:type="dxa"/>
            <w:gridSpan w:val="2"/>
            <w:vAlign w:val="center"/>
          </w:tcPr>
          <w:p>
            <w:pPr>
              <w:spacing w:before="120" w:after="120"/>
              <w:jc w:val="center"/>
            </w:pPr>
            <w:r>
              <w:t>8dBi for BS and 0 dBi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pStyle w:val="46"/>
              <w:spacing w:before="120" w:after="120"/>
              <w:rPr>
                <w:rFonts w:ascii="Times New Roman" w:hAnsi="Times New Roman"/>
                <w:sz w:val="21"/>
              </w:rPr>
            </w:pPr>
            <w:r>
              <w:rPr>
                <w:rFonts w:ascii="Times New Roman" w:hAnsi="Times New Roman"/>
                <w:sz w:val="21"/>
              </w:rPr>
              <w:t>Receiver Noise Figure</w:t>
            </w:r>
          </w:p>
        </w:tc>
        <w:tc>
          <w:tcPr>
            <w:tcW w:w="7646" w:type="dxa"/>
            <w:gridSpan w:val="2"/>
            <w:vAlign w:val="center"/>
          </w:tcPr>
          <w:p>
            <w:pPr>
              <w:pStyle w:val="46"/>
              <w:spacing w:before="120" w:after="120"/>
              <w:rPr>
                <w:rFonts w:ascii="Times New Roman" w:hAnsi="Times New Roman"/>
                <w:sz w:val="21"/>
              </w:rPr>
            </w:pPr>
            <w:r>
              <w:rPr>
                <w:rFonts w:ascii="Times New Roman" w:hAnsi="Times New Roman"/>
                <w:sz w:val="21"/>
              </w:rPr>
              <w:t>5 dB for BS and 9 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pStyle w:val="46"/>
              <w:spacing w:before="120" w:after="120"/>
              <w:rPr>
                <w:rFonts w:ascii="Times New Roman" w:hAnsi="Times New Roman"/>
                <w:sz w:val="21"/>
              </w:rPr>
            </w:pPr>
            <w:r>
              <w:rPr>
                <w:rFonts w:ascii="Times New Roman" w:hAnsi="Times New Roman"/>
                <w:sz w:val="21"/>
              </w:rPr>
              <w:t>UE distribution</w:t>
            </w:r>
          </w:p>
        </w:tc>
        <w:tc>
          <w:tcPr>
            <w:tcW w:w="7646" w:type="dxa"/>
            <w:gridSpan w:val="2"/>
            <w:vAlign w:val="center"/>
          </w:tcPr>
          <w:p>
            <w:pPr>
              <w:spacing w:before="120" w:after="120"/>
              <w:jc w:val="center"/>
              <w:textAlignment w:val="center"/>
            </w:pPr>
            <w:r>
              <w:t>Uniform in cell;</w:t>
            </w:r>
          </w:p>
          <w:p>
            <w:pPr>
              <w:spacing w:before="120" w:after="120"/>
              <w:jc w:val="center"/>
              <w:textAlignment w:val="center"/>
            </w:pPr>
            <w:r>
              <w:t>80% of users are indoor,</w:t>
            </w:r>
            <w:r>
              <w:rPr>
                <w:rFonts w:hint="eastAsia"/>
              </w:rPr>
              <w:t xml:space="preserve"> </w:t>
            </w:r>
            <w:r>
              <w:t>20%</w:t>
            </w:r>
            <w:r>
              <w:rPr>
                <w:rFonts w:hint="eastAsia"/>
              </w:rPr>
              <w:t xml:space="preserve"> </w:t>
            </w:r>
            <w:r>
              <w:t>of users are outdoor;</w:t>
            </w:r>
          </w:p>
          <w:p>
            <w:pPr>
              <w:pStyle w:val="46"/>
              <w:spacing w:before="120" w:after="120"/>
              <w:rPr>
                <w:rFonts w:ascii="Times New Roman" w:hAnsi="Times New Roman"/>
                <w:sz w:val="21"/>
              </w:rPr>
            </w:pPr>
            <w:r>
              <w:rPr>
                <w:rFonts w:ascii="Times New Roman" w:hAnsi="Times New Roman"/>
                <w:sz w:val="21"/>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pStyle w:val="46"/>
              <w:spacing w:before="120" w:after="120"/>
              <w:rPr>
                <w:rFonts w:ascii="Times New Roman" w:hAnsi="Times New Roman"/>
                <w:sz w:val="21"/>
              </w:rPr>
            </w:pPr>
            <w:r>
              <w:rPr>
                <w:rFonts w:ascii="Times New Roman" w:hAnsi="Times New Roman"/>
                <w:sz w:val="21"/>
              </w:rPr>
              <w:t>Number of UEs per cell</w:t>
            </w:r>
          </w:p>
        </w:tc>
        <w:tc>
          <w:tcPr>
            <w:tcW w:w="7646" w:type="dxa"/>
            <w:gridSpan w:val="2"/>
            <w:vAlign w:val="center"/>
          </w:tcPr>
          <w:p>
            <w:pPr>
              <w:pStyle w:val="46"/>
              <w:spacing w:before="120" w:after="120"/>
              <w:rPr>
                <w:rFonts w:ascii="Times New Roman" w:hAnsi="Times New Roman"/>
                <w:sz w:val="21"/>
              </w:rPr>
            </w:pPr>
            <w:r>
              <w:rPr>
                <w:rFonts w:hint="eastAsia" w:ascii="Times New Roman" w:hAnsi="Times New Roman"/>
                <w:sz w:val="21"/>
              </w:rPr>
              <w:t>Depends on RU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pStyle w:val="46"/>
              <w:spacing w:before="120" w:after="120"/>
              <w:rPr>
                <w:rFonts w:ascii="Times New Roman" w:hAnsi="Times New Roman"/>
                <w:sz w:val="21"/>
              </w:rPr>
            </w:pPr>
            <w:r>
              <w:rPr>
                <w:rFonts w:ascii="Times New Roman" w:hAnsi="Times New Roman"/>
                <w:sz w:val="21"/>
              </w:rPr>
              <w:t>Scheduling Algorithm</w:t>
            </w:r>
          </w:p>
        </w:tc>
        <w:tc>
          <w:tcPr>
            <w:tcW w:w="7646" w:type="dxa"/>
            <w:gridSpan w:val="2"/>
            <w:vAlign w:val="center"/>
          </w:tcPr>
          <w:p>
            <w:pPr>
              <w:pStyle w:val="46"/>
              <w:spacing w:before="120" w:after="120"/>
              <w:rPr>
                <w:rFonts w:ascii="Times New Roman" w:hAnsi="Times New Roman"/>
                <w:sz w:val="21"/>
              </w:rPr>
            </w:pPr>
            <w:r>
              <w:rPr>
                <w:rFonts w:ascii="Times New Roman" w:hAnsi="Times New Roman"/>
                <w:sz w:val="21"/>
              </w:rPr>
              <w:t>SU-MIMO + PF; or MU-MIMO +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pStyle w:val="46"/>
              <w:spacing w:before="120" w:after="120"/>
              <w:rPr>
                <w:rFonts w:ascii="Times New Roman" w:hAnsi="Times New Roman"/>
                <w:sz w:val="21"/>
              </w:rPr>
            </w:pPr>
            <w:r>
              <w:rPr>
                <w:rFonts w:ascii="Times New Roman" w:hAnsi="Times New Roman"/>
                <w:sz w:val="21"/>
              </w:rPr>
              <w:t>HARQ/repetition</w:t>
            </w:r>
          </w:p>
        </w:tc>
        <w:tc>
          <w:tcPr>
            <w:tcW w:w="7646" w:type="dxa"/>
            <w:gridSpan w:val="2"/>
            <w:vAlign w:val="center"/>
          </w:tcPr>
          <w:p>
            <w:pPr>
              <w:pStyle w:val="46"/>
              <w:spacing w:before="120" w:after="120"/>
              <w:rPr>
                <w:rFonts w:ascii="Times New Roman" w:hAnsi="Times New Roman"/>
                <w:sz w:val="21"/>
              </w:rPr>
            </w:pPr>
            <w:r>
              <w:rPr>
                <w:rFonts w:ascii="Times New Roman" w:hAnsi="Times New Roman"/>
                <w:sz w:val="21"/>
              </w:rPr>
              <w:t>HARQ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pStyle w:val="46"/>
              <w:spacing w:before="120" w:after="120"/>
              <w:rPr>
                <w:rFonts w:ascii="Times New Roman" w:hAnsi="Times New Roman"/>
                <w:sz w:val="21"/>
              </w:rPr>
            </w:pPr>
            <w:r>
              <w:rPr>
                <w:rFonts w:ascii="Times New Roman" w:hAnsi="Times New Roman"/>
                <w:sz w:val="21"/>
              </w:rPr>
              <w:t>Channel estimation</w:t>
            </w:r>
          </w:p>
        </w:tc>
        <w:tc>
          <w:tcPr>
            <w:tcW w:w="7646" w:type="dxa"/>
            <w:gridSpan w:val="2"/>
            <w:vAlign w:val="center"/>
          </w:tcPr>
          <w:p>
            <w:pPr>
              <w:pStyle w:val="46"/>
              <w:spacing w:before="120" w:after="120"/>
              <w:rPr>
                <w:rFonts w:ascii="Times New Roman" w:hAnsi="Times New Roman"/>
                <w:sz w:val="21"/>
              </w:rPr>
            </w:pPr>
            <w:r>
              <w:rPr>
                <w:rFonts w:ascii="Times New Roman" w:hAnsi="Times New Roman"/>
                <w:sz w:val="21"/>
              </w:rPr>
              <w:t>Realist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pStyle w:val="46"/>
              <w:spacing w:before="120" w:after="120"/>
              <w:rPr>
                <w:rFonts w:ascii="Times New Roman" w:hAnsi="Times New Roman"/>
                <w:sz w:val="21"/>
              </w:rPr>
            </w:pPr>
            <w:r>
              <w:rPr>
                <w:rFonts w:ascii="Times New Roman" w:hAnsi="Times New Roman"/>
                <w:sz w:val="21"/>
              </w:rPr>
              <w:t>PDCCH overhead</w:t>
            </w:r>
          </w:p>
        </w:tc>
        <w:tc>
          <w:tcPr>
            <w:tcW w:w="7646" w:type="dxa"/>
            <w:gridSpan w:val="2"/>
            <w:vAlign w:val="center"/>
          </w:tcPr>
          <w:p>
            <w:pPr>
              <w:pStyle w:val="46"/>
              <w:spacing w:before="120" w:after="120"/>
              <w:rPr>
                <w:rFonts w:ascii="Times New Roman" w:hAnsi="Times New Roman"/>
                <w:sz w:val="21"/>
              </w:rPr>
            </w:pPr>
            <w:r>
              <w:rPr>
                <w:rFonts w:ascii="Times New Roman" w:hAnsi="Times New Roman"/>
                <w:sz w:val="21"/>
              </w:rPr>
              <w:t>1/7</w:t>
            </w:r>
            <w:r>
              <w:rPr>
                <w:rFonts w:hint="eastAsia" w:ascii="Times New Roman" w:hAnsi="Times New Roman"/>
                <w:sz w:val="21"/>
              </w:rPr>
              <w:t xml:space="preserve"> </w:t>
            </w:r>
            <w:r>
              <w:rPr>
                <w:rFonts w:ascii="Times New Roman" w:hAnsi="Times New Roman"/>
                <w:sz w:val="21"/>
              </w:rPr>
              <w:t>(2symbols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pStyle w:val="46"/>
              <w:spacing w:before="120" w:after="120"/>
              <w:rPr>
                <w:rFonts w:ascii="Times New Roman" w:hAnsi="Times New Roman"/>
                <w:sz w:val="21"/>
              </w:rPr>
            </w:pPr>
            <w:r>
              <w:rPr>
                <w:rFonts w:ascii="Times New Roman" w:hAnsi="Times New Roman"/>
                <w:sz w:val="21"/>
              </w:rPr>
              <w:t>DMRS overhead</w:t>
            </w:r>
          </w:p>
        </w:tc>
        <w:tc>
          <w:tcPr>
            <w:tcW w:w="7646" w:type="dxa"/>
            <w:gridSpan w:val="2"/>
            <w:vAlign w:val="center"/>
          </w:tcPr>
          <w:p>
            <w:pPr>
              <w:pStyle w:val="46"/>
              <w:spacing w:before="120" w:after="120"/>
              <w:rPr>
                <w:rFonts w:ascii="Times New Roman" w:hAnsi="Times New Roman"/>
                <w:sz w:val="21"/>
              </w:rPr>
            </w:pPr>
            <w:r>
              <w:rPr>
                <w:rFonts w:ascii="Times New Roman" w:hAnsi="Times New Roman"/>
                <w:sz w:val="21"/>
              </w:rPr>
              <w:t>1 symbol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vAlign w:val="center"/>
          </w:tcPr>
          <w:p>
            <w:pPr>
              <w:pStyle w:val="46"/>
              <w:spacing w:before="120" w:after="120"/>
              <w:rPr>
                <w:rFonts w:ascii="Times New Roman" w:hAnsi="Times New Roman"/>
                <w:sz w:val="21"/>
              </w:rPr>
            </w:pPr>
            <w:r>
              <w:rPr>
                <w:rFonts w:ascii="Times New Roman" w:hAnsi="Times New Roman"/>
                <w:sz w:val="21"/>
              </w:rPr>
              <w:t>BS receiver</w:t>
            </w:r>
          </w:p>
        </w:tc>
        <w:tc>
          <w:tcPr>
            <w:tcW w:w="7646" w:type="dxa"/>
            <w:gridSpan w:val="2"/>
            <w:vAlign w:val="center"/>
          </w:tcPr>
          <w:p>
            <w:pPr>
              <w:pStyle w:val="46"/>
              <w:spacing w:before="120" w:after="120"/>
              <w:rPr>
                <w:rFonts w:ascii="Times New Roman" w:hAnsi="Times New Roman"/>
                <w:sz w:val="21"/>
              </w:rPr>
            </w:pPr>
            <w:r>
              <w:rPr>
                <w:rFonts w:ascii="Times New Roman" w:hAnsi="Times New Roman"/>
                <w:sz w:val="21"/>
              </w:rPr>
              <w:t>MMSE-IRC</w:t>
            </w:r>
          </w:p>
        </w:tc>
      </w:tr>
    </w:tbl>
    <w:p>
      <w:pPr>
        <w:spacing w:beforeLines="0" w:afterLines="0"/>
        <w:jc w:val="left"/>
      </w:pPr>
    </w:p>
    <w:p>
      <w:pPr>
        <w:spacing w:beforeLines="0" w:afterLines="0"/>
        <w:jc w:val="left"/>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Arial Unicode MS">
    <w:panose1 w:val="020B0604020202020204"/>
    <w:charset w:val="86"/>
    <w:family w:val="swiss"/>
    <w:pitch w:val="default"/>
    <w:sig w:usb0="FFFFFFFF" w:usb1="E9FFFFFF" w:usb2="0000003F" w:usb3="00000000" w:csb0="603F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9"/>
                      <w:spacing w:before="120" w:after="120"/>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27"/>
      <w:lvlText w:val="Observation %1: "/>
      <w:lvlJc w:val="left"/>
      <w:pPr>
        <w:tabs>
          <w:tab w:val="left" w:pos="0"/>
        </w:tabs>
        <w:ind w:left="0" w:firstLine="0"/>
      </w:pPr>
      <w:rPr>
        <w:rFonts w:hint="default" w:ascii="Times New Roman" w:hAnsi="Times New Roman" w:eastAsia="宋体" w:cs="Times New Roman"/>
        <w:b/>
        <w:bCs/>
        <w:i w:val="0"/>
        <w:iCs w:val="0"/>
      </w:rPr>
    </w:lvl>
  </w:abstractNum>
  <w:abstractNum w:abstractNumId="1">
    <w:nsid w:val="B15F0BA4"/>
    <w:multiLevelType w:val="singleLevel"/>
    <w:tmpl w:val="B15F0BA4"/>
    <w:lvl w:ilvl="0" w:tentative="0">
      <w:start w:val="1"/>
      <w:numFmt w:val="bullet"/>
      <w:pStyle w:val="31"/>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28"/>
      <w:lvlText w:val="Proposal %1:"/>
      <w:lvlJc w:val="left"/>
      <w:pPr>
        <w:tabs>
          <w:tab w:val="left" w:pos="0"/>
        </w:tabs>
        <w:ind w:left="0" w:firstLine="0"/>
      </w:pPr>
      <w:rPr>
        <w:rFonts w:hint="default" w:ascii="Times New Roman" w:hAnsi="Times New Roman" w:eastAsia="宋体" w:cs="Times New Roman"/>
        <w:b/>
        <w:bCs/>
        <w:i w:val="0"/>
        <w:iCs w:val="0"/>
        <w:highlight w:val="none"/>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BDFBEE56"/>
    <w:multiLevelType w:val="singleLevel"/>
    <w:tmpl w:val="BDFBEE56"/>
    <w:lvl w:ilvl="0" w:tentative="0">
      <w:start w:val="1"/>
      <w:numFmt w:val="bullet"/>
      <w:lvlText w:val=""/>
      <w:lvlJc w:val="left"/>
      <w:pPr>
        <w:ind w:left="420" w:hanging="420"/>
      </w:pPr>
      <w:rPr>
        <w:rFonts w:hint="default" w:ascii="Wingdings" w:hAnsi="Wingdings"/>
      </w:rPr>
    </w:lvl>
  </w:abstractNum>
  <w:abstractNum w:abstractNumId="4">
    <w:nsid w:val="F05EF204"/>
    <w:multiLevelType w:val="singleLevel"/>
    <w:tmpl w:val="F05EF204"/>
    <w:lvl w:ilvl="0" w:tentative="0">
      <w:start w:val="1"/>
      <w:numFmt w:val="bullet"/>
      <w:lvlText w:val=""/>
      <w:lvlJc w:val="left"/>
      <w:pPr>
        <w:ind w:left="420" w:hanging="420"/>
      </w:pPr>
      <w:rPr>
        <w:rFonts w:hint="default" w:ascii="Wingdings" w:hAnsi="Wingdings"/>
      </w:rPr>
    </w:lvl>
  </w:abstractNum>
  <w:abstractNum w:abstractNumId="5">
    <w:nsid w:val="07BA0CDA"/>
    <w:multiLevelType w:val="multilevel"/>
    <w:tmpl w:val="07BA0CD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6">
    <w:nsid w:val="0BCC52C3"/>
    <w:multiLevelType w:val="multilevel"/>
    <w:tmpl w:val="0BCC52C3"/>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2160" w:hanging="36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0D7742DC"/>
    <w:multiLevelType w:val="multilevel"/>
    <w:tmpl w:val="0D7742DC"/>
    <w:lvl w:ilvl="0" w:tentative="0">
      <w:start w:val="1"/>
      <w:numFmt w:val="bullet"/>
      <w:lvlText w:val=""/>
      <w:lvlJc w:val="left"/>
      <w:pPr>
        <w:ind w:left="420" w:hanging="420"/>
      </w:pPr>
      <w:rPr>
        <w:rFonts w:hint="default" w:ascii="Symbol" w:hAnsi="Symbol"/>
        <w:lang w:val="en-US"/>
      </w:rPr>
    </w:lvl>
    <w:lvl w:ilvl="1" w:tentative="0">
      <w:start w:val="0"/>
      <w:numFmt w:val="bullet"/>
      <w:lvlText w:val="─"/>
      <w:lvlJc w:val="left"/>
      <w:pPr>
        <w:ind w:left="840" w:hanging="420"/>
      </w:pPr>
      <w:rPr>
        <w:rFonts w:hint="eastAsia" w:ascii="Arial Unicode MS" w:hAnsi="Arial Unicode MS" w:eastAsia="Arial Unicode M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1DA277E1"/>
    <w:multiLevelType w:val="singleLevel"/>
    <w:tmpl w:val="1DA277E1"/>
    <w:lvl w:ilvl="0" w:tentative="0">
      <w:start w:val="1"/>
      <w:numFmt w:val="bullet"/>
      <w:lvlText w:val=""/>
      <w:lvlJc w:val="left"/>
      <w:pPr>
        <w:ind w:left="420" w:hanging="420"/>
      </w:pPr>
      <w:rPr>
        <w:rFonts w:hint="default" w:ascii="Wingdings" w:hAnsi="Wingdings"/>
      </w:rPr>
    </w:lvl>
  </w:abstractNum>
  <w:abstractNum w:abstractNumId="10">
    <w:nsid w:val="21C4001D"/>
    <w:multiLevelType w:val="singleLevel"/>
    <w:tmpl w:val="21C4001D"/>
    <w:lvl w:ilvl="0" w:tentative="0">
      <w:start w:val="1"/>
      <w:numFmt w:val="bullet"/>
      <w:lvlText w:val=""/>
      <w:lvlJc w:val="left"/>
      <w:pPr>
        <w:ind w:left="420" w:hanging="420"/>
      </w:pPr>
      <w:rPr>
        <w:rFonts w:hint="default" w:ascii="Wingdings" w:hAnsi="Wingdings"/>
      </w:rPr>
    </w:lvl>
  </w:abstractNum>
  <w:abstractNum w:abstractNumId="11">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12">
    <w:nsid w:val="463BC77A"/>
    <w:multiLevelType w:val="singleLevel"/>
    <w:tmpl w:val="463BC77A"/>
    <w:lvl w:ilvl="0" w:tentative="0">
      <w:start w:val="1"/>
      <w:numFmt w:val="lowerLetter"/>
      <w:suff w:val="space"/>
      <w:lvlText w:val="(%1)"/>
      <w:lvlJc w:val="left"/>
    </w:lvl>
  </w:abstractNum>
  <w:abstractNum w:abstractNumId="13">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4">
    <w:nsid w:val="508BE803"/>
    <w:multiLevelType w:val="singleLevel"/>
    <w:tmpl w:val="508BE803"/>
    <w:lvl w:ilvl="0" w:tentative="0">
      <w:start w:val="1"/>
      <w:numFmt w:val="bullet"/>
      <w:pStyle w:val="32"/>
      <w:lvlText w:val="-"/>
      <w:lvlJc w:val="left"/>
      <w:pPr>
        <w:ind w:left="420" w:hanging="420"/>
      </w:pPr>
      <w:rPr>
        <w:rFonts w:hint="default" w:ascii="Arial" w:hAnsi="Arial" w:cs="Arial"/>
      </w:rPr>
    </w:lvl>
  </w:abstractNum>
  <w:abstractNum w:abstractNumId="15">
    <w:nsid w:val="7DC436CD"/>
    <w:multiLevelType w:val="singleLevel"/>
    <w:tmpl w:val="7DC436CD"/>
    <w:lvl w:ilvl="0" w:tentative="0">
      <w:start w:val="1"/>
      <w:numFmt w:val="bullet"/>
      <w:pStyle w:val="29"/>
      <w:lvlText w:val="•"/>
      <w:lvlJc w:val="left"/>
      <w:pPr>
        <w:tabs>
          <w:tab w:val="left" w:pos="420"/>
        </w:tabs>
        <w:ind w:left="420" w:hanging="378"/>
      </w:pPr>
      <w:rPr>
        <w:rFonts w:hint="default" w:ascii="Arial" w:hAnsi="Arial" w:cs="Arial"/>
      </w:rPr>
    </w:lvl>
  </w:abstractNum>
  <w:num w:numId="1">
    <w:abstractNumId w:val="7"/>
  </w:num>
  <w:num w:numId="2">
    <w:abstractNumId w:val="0"/>
  </w:num>
  <w:num w:numId="3">
    <w:abstractNumId w:val="2"/>
  </w:num>
  <w:num w:numId="4">
    <w:abstractNumId w:val="15"/>
  </w:num>
  <w:num w:numId="5">
    <w:abstractNumId w:val="1"/>
  </w:num>
  <w:num w:numId="6">
    <w:abstractNumId w:val="14"/>
  </w:num>
  <w:num w:numId="7">
    <w:abstractNumId w:val="11"/>
  </w:num>
  <w:num w:numId="8">
    <w:abstractNumId w:val="13"/>
  </w:num>
  <w:num w:numId="9">
    <w:abstractNumId w:val="8"/>
  </w:num>
  <w:num w:numId="10">
    <w:abstractNumId w:val="6"/>
  </w:num>
  <w:num w:numId="11">
    <w:abstractNumId w:val="3"/>
  </w:num>
  <w:num w:numId="12">
    <w:abstractNumId w:val="10"/>
  </w:num>
  <w:num w:numId="13">
    <w:abstractNumId w:val="12"/>
  </w:num>
  <w:num w:numId="14">
    <w:abstractNumId w:val="9"/>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FFC"/>
    <w:rsid w:val="00065FD7"/>
    <w:rsid w:val="00071417"/>
    <w:rsid w:val="0007688D"/>
    <w:rsid w:val="00077AB7"/>
    <w:rsid w:val="000B77B6"/>
    <w:rsid w:val="00111A57"/>
    <w:rsid w:val="00133013"/>
    <w:rsid w:val="00136561"/>
    <w:rsid w:val="00163285"/>
    <w:rsid w:val="00172A27"/>
    <w:rsid w:val="0017366F"/>
    <w:rsid w:val="0019353B"/>
    <w:rsid w:val="001A3106"/>
    <w:rsid w:val="001D26C3"/>
    <w:rsid w:val="001E2631"/>
    <w:rsid w:val="00210390"/>
    <w:rsid w:val="00223538"/>
    <w:rsid w:val="00223712"/>
    <w:rsid w:val="0023122C"/>
    <w:rsid w:val="002678A1"/>
    <w:rsid w:val="0028767E"/>
    <w:rsid w:val="002C5F80"/>
    <w:rsid w:val="002E65C5"/>
    <w:rsid w:val="002F0828"/>
    <w:rsid w:val="002F2C00"/>
    <w:rsid w:val="002F7BF3"/>
    <w:rsid w:val="00303892"/>
    <w:rsid w:val="00320BF9"/>
    <w:rsid w:val="00331341"/>
    <w:rsid w:val="00340C64"/>
    <w:rsid w:val="003412CB"/>
    <w:rsid w:val="00355FAB"/>
    <w:rsid w:val="003A3B27"/>
    <w:rsid w:val="003B2AEF"/>
    <w:rsid w:val="003B552C"/>
    <w:rsid w:val="003D49D0"/>
    <w:rsid w:val="0040261A"/>
    <w:rsid w:val="00420A30"/>
    <w:rsid w:val="00437E34"/>
    <w:rsid w:val="00446D8E"/>
    <w:rsid w:val="00480297"/>
    <w:rsid w:val="00496050"/>
    <w:rsid w:val="00501FE5"/>
    <w:rsid w:val="0051546D"/>
    <w:rsid w:val="00525FAC"/>
    <w:rsid w:val="00584FCD"/>
    <w:rsid w:val="005A2E05"/>
    <w:rsid w:val="005B065E"/>
    <w:rsid w:val="005C4A08"/>
    <w:rsid w:val="005E6220"/>
    <w:rsid w:val="006039D3"/>
    <w:rsid w:val="006201FB"/>
    <w:rsid w:val="0062754E"/>
    <w:rsid w:val="006835BB"/>
    <w:rsid w:val="006B25FB"/>
    <w:rsid w:val="006D68EC"/>
    <w:rsid w:val="00701542"/>
    <w:rsid w:val="007265B7"/>
    <w:rsid w:val="0072661E"/>
    <w:rsid w:val="0074556D"/>
    <w:rsid w:val="00775C6B"/>
    <w:rsid w:val="00782F16"/>
    <w:rsid w:val="007852C4"/>
    <w:rsid w:val="00787751"/>
    <w:rsid w:val="007A1686"/>
    <w:rsid w:val="007A6237"/>
    <w:rsid w:val="007D0012"/>
    <w:rsid w:val="007D1AD6"/>
    <w:rsid w:val="007E41F0"/>
    <w:rsid w:val="007F16C3"/>
    <w:rsid w:val="008051B1"/>
    <w:rsid w:val="00805EFC"/>
    <w:rsid w:val="00830D05"/>
    <w:rsid w:val="008356CB"/>
    <w:rsid w:val="00842651"/>
    <w:rsid w:val="0086613A"/>
    <w:rsid w:val="00873BEF"/>
    <w:rsid w:val="00875F39"/>
    <w:rsid w:val="00893ED8"/>
    <w:rsid w:val="0089451B"/>
    <w:rsid w:val="008B62C6"/>
    <w:rsid w:val="008C37DA"/>
    <w:rsid w:val="00922437"/>
    <w:rsid w:val="0096044C"/>
    <w:rsid w:val="00962981"/>
    <w:rsid w:val="009632C9"/>
    <w:rsid w:val="009759C1"/>
    <w:rsid w:val="00994052"/>
    <w:rsid w:val="009A669E"/>
    <w:rsid w:val="009B5CCB"/>
    <w:rsid w:val="009C4BE2"/>
    <w:rsid w:val="009E3F38"/>
    <w:rsid w:val="009F0F68"/>
    <w:rsid w:val="009F7E1D"/>
    <w:rsid w:val="00A06EC1"/>
    <w:rsid w:val="00A156E0"/>
    <w:rsid w:val="00A21337"/>
    <w:rsid w:val="00A23C1E"/>
    <w:rsid w:val="00A35FA1"/>
    <w:rsid w:val="00A40F57"/>
    <w:rsid w:val="00A52FF8"/>
    <w:rsid w:val="00A71320"/>
    <w:rsid w:val="00AD19E3"/>
    <w:rsid w:val="00AD22B2"/>
    <w:rsid w:val="00B03179"/>
    <w:rsid w:val="00B05E52"/>
    <w:rsid w:val="00B20474"/>
    <w:rsid w:val="00B324FD"/>
    <w:rsid w:val="00B3321C"/>
    <w:rsid w:val="00B464D3"/>
    <w:rsid w:val="00B6587C"/>
    <w:rsid w:val="00B753BE"/>
    <w:rsid w:val="00B861C7"/>
    <w:rsid w:val="00B912D8"/>
    <w:rsid w:val="00BA5A77"/>
    <w:rsid w:val="00BB2B47"/>
    <w:rsid w:val="00BC30F6"/>
    <w:rsid w:val="00BD35E1"/>
    <w:rsid w:val="00C076BA"/>
    <w:rsid w:val="00C27E19"/>
    <w:rsid w:val="00C50862"/>
    <w:rsid w:val="00C5409B"/>
    <w:rsid w:val="00C6245A"/>
    <w:rsid w:val="00C75A8A"/>
    <w:rsid w:val="00C85C21"/>
    <w:rsid w:val="00CD6D22"/>
    <w:rsid w:val="00CE4224"/>
    <w:rsid w:val="00D33A61"/>
    <w:rsid w:val="00D458E1"/>
    <w:rsid w:val="00D63360"/>
    <w:rsid w:val="00D720D3"/>
    <w:rsid w:val="00D921E3"/>
    <w:rsid w:val="00DC2C3C"/>
    <w:rsid w:val="00E01EF2"/>
    <w:rsid w:val="00E0425A"/>
    <w:rsid w:val="00E37283"/>
    <w:rsid w:val="00E40490"/>
    <w:rsid w:val="00E556B5"/>
    <w:rsid w:val="00E907B0"/>
    <w:rsid w:val="00E9764A"/>
    <w:rsid w:val="00EB6B8D"/>
    <w:rsid w:val="00ED2C5F"/>
    <w:rsid w:val="00EF7BA4"/>
    <w:rsid w:val="00F722E1"/>
    <w:rsid w:val="00F74C58"/>
    <w:rsid w:val="00F74EF0"/>
    <w:rsid w:val="00FD01F9"/>
    <w:rsid w:val="00FD216C"/>
    <w:rsid w:val="00FD2DE4"/>
    <w:rsid w:val="00FD504F"/>
    <w:rsid w:val="00FF073F"/>
    <w:rsid w:val="00FF410C"/>
    <w:rsid w:val="01370DE3"/>
    <w:rsid w:val="015758F1"/>
    <w:rsid w:val="01764F01"/>
    <w:rsid w:val="018C2CFB"/>
    <w:rsid w:val="01A91D16"/>
    <w:rsid w:val="021930B7"/>
    <w:rsid w:val="024D6B6A"/>
    <w:rsid w:val="029B04E7"/>
    <w:rsid w:val="02A7648B"/>
    <w:rsid w:val="02F45490"/>
    <w:rsid w:val="03073BDC"/>
    <w:rsid w:val="031E22EA"/>
    <w:rsid w:val="033F44DC"/>
    <w:rsid w:val="03F043AB"/>
    <w:rsid w:val="0555228E"/>
    <w:rsid w:val="056A6AC0"/>
    <w:rsid w:val="05772D28"/>
    <w:rsid w:val="059D1E39"/>
    <w:rsid w:val="05CF7B05"/>
    <w:rsid w:val="05E078B3"/>
    <w:rsid w:val="0608323F"/>
    <w:rsid w:val="06295EDA"/>
    <w:rsid w:val="06296D24"/>
    <w:rsid w:val="06523FA9"/>
    <w:rsid w:val="067354E1"/>
    <w:rsid w:val="06D700A3"/>
    <w:rsid w:val="077D0583"/>
    <w:rsid w:val="07882158"/>
    <w:rsid w:val="079724D0"/>
    <w:rsid w:val="079A46F1"/>
    <w:rsid w:val="07E00751"/>
    <w:rsid w:val="082A352F"/>
    <w:rsid w:val="08963677"/>
    <w:rsid w:val="08B8734F"/>
    <w:rsid w:val="08C349D1"/>
    <w:rsid w:val="0929249D"/>
    <w:rsid w:val="0947311A"/>
    <w:rsid w:val="09A30213"/>
    <w:rsid w:val="09F67CD5"/>
    <w:rsid w:val="0A57636F"/>
    <w:rsid w:val="0AC25EA1"/>
    <w:rsid w:val="0AC70BAB"/>
    <w:rsid w:val="0AF62534"/>
    <w:rsid w:val="0AFA1837"/>
    <w:rsid w:val="0B1C4E77"/>
    <w:rsid w:val="0B2D0F18"/>
    <w:rsid w:val="0B522EA2"/>
    <w:rsid w:val="0B9E71DF"/>
    <w:rsid w:val="0BC574DB"/>
    <w:rsid w:val="0C3A6F0C"/>
    <w:rsid w:val="0C43115A"/>
    <w:rsid w:val="0C653C14"/>
    <w:rsid w:val="0C9D30C2"/>
    <w:rsid w:val="0CC23302"/>
    <w:rsid w:val="0CF01620"/>
    <w:rsid w:val="0D9D65F4"/>
    <w:rsid w:val="0DE6054D"/>
    <w:rsid w:val="0DF31519"/>
    <w:rsid w:val="0E172BD0"/>
    <w:rsid w:val="0E923B0F"/>
    <w:rsid w:val="0EDF5528"/>
    <w:rsid w:val="0F3A60EF"/>
    <w:rsid w:val="0FF7391A"/>
    <w:rsid w:val="0FFB42D7"/>
    <w:rsid w:val="101972D2"/>
    <w:rsid w:val="10525981"/>
    <w:rsid w:val="108727AC"/>
    <w:rsid w:val="10991B70"/>
    <w:rsid w:val="10A50104"/>
    <w:rsid w:val="10E26362"/>
    <w:rsid w:val="112E752F"/>
    <w:rsid w:val="115B3410"/>
    <w:rsid w:val="11774DDE"/>
    <w:rsid w:val="119D7849"/>
    <w:rsid w:val="12371EC0"/>
    <w:rsid w:val="1242135C"/>
    <w:rsid w:val="12C731F4"/>
    <w:rsid w:val="12DA0FE8"/>
    <w:rsid w:val="12FB739E"/>
    <w:rsid w:val="133F406E"/>
    <w:rsid w:val="13A1683F"/>
    <w:rsid w:val="13A41CD3"/>
    <w:rsid w:val="13A57E82"/>
    <w:rsid w:val="13FF128E"/>
    <w:rsid w:val="14106BC5"/>
    <w:rsid w:val="141B617A"/>
    <w:rsid w:val="142B5250"/>
    <w:rsid w:val="14654C10"/>
    <w:rsid w:val="14697F3B"/>
    <w:rsid w:val="14A52BEC"/>
    <w:rsid w:val="14C1366E"/>
    <w:rsid w:val="14DA3DA1"/>
    <w:rsid w:val="155C78F4"/>
    <w:rsid w:val="15A10E59"/>
    <w:rsid w:val="15D213AA"/>
    <w:rsid w:val="15E27715"/>
    <w:rsid w:val="160A381B"/>
    <w:rsid w:val="163B3519"/>
    <w:rsid w:val="168568C0"/>
    <w:rsid w:val="16C96D13"/>
    <w:rsid w:val="17155857"/>
    <w:rsid w:val="176F33CF"/>
    <w:rsid w:val="17950508"/>
    <w:rsid w:val="17D306AA"/>
    <w:rsid w:val="17FA7770"/>
    <w:rsid w:val="18050BAF"/>
    <w:rsid w:val="18610F46"/>
    <w:rsid w:val="187C26A3"/>
    <w:rsid w:val="18E84966"/>
    <w:rsid w:val="18FE6344"/>
    <w:rsid w:val="19010C43"/>
    <w:rsid w:val="19084C73"/>
    <w:rsid w:val="19DD7A83"/>
    <w:rsid w:val="19F22539"/>
    <w:rsid w:val="1A054259"/>
    <w:rsid w:val="1AD555D7"/>
    <w:rsid w:val="1AE06930"/>
    <w:rsid w:val="1B2C6AC5"/>
    <w:rsid w:val="1B4E55DE"/>
    <w:rsid w:val="1B6A3F43"/>
    <w:rsid w:val="1B7F6005"/>
    <w:rsid w:val="1BA43597"/>
    <w:rsid w:val="1BD16E50"/>
    <w:rsid w:val="1BDB3734"/>
    <w:rsid w:val="1C132CB9"/>
    <w:rsid w:val="1C421273"/>
    <w:rsid w:val="1C9509A0"/>
    <w:rsid w:val="1C9A2954"/>
    <w:rsid w:val="1CB32E92"/>
    <w:rsid w:val="1CCC26CA"/>
    <w:rsid w:val="1D47789B"/>
    <w:rsid w:val="1D8028C6"/>
    <w:rsid w:val="1D913F0E"/>
    <w:rsid w:val="1D950E55"/>
    <w:rsid w:val="1DC65405"/>
    <w:rsid w:val="1E567DC5"/>
    <w:rsid w:val="1E90157C"/>
    <w:rsid w:val="1E9D6342"/>
    <w:rsid w:val="1F2D3ABF"/>
    <w:rsid w:val="1F553614"/>
    <w:rsid w:val="1FB87344"/>
    <w:rsid w:val="1FE855C9"/>
    <w:rsid w:val="204E6676"/>
    <w:rsid w:val="20593B31"/>
    <w:rsid w:val="205C27C0"/>
    <w:rsid w:val="20B768DB"/>
    <w:rsid w:val="21944D10"/>
    <w:rsid w:val="2195668B"/>
    <w:rsid w:val="21BE5AD4"/>
    <w:rsid w:val="21D15E4C"/>
    <w:rsid w:val="22141190"/>
    <w:rsid w:val="224A757C"/>
    <w:rsid w:val="22525B18"/>
    <w:rsid w:val="22C1443B"/>
    <w:rsid w:val="22E95CCE"/>
    <w:rsid w:val="23081A49"/>
    <w:rsid w:val="230A3249"/>
    <w:rsid w:val="23D832C9"/>
    <w:rsid w:val="241D2805"/>
    <w:rsid w:val="243A4847"/>
    <w:rsid w:val="245C52F8"/>
    <w:rsid w:val="2463385E"/>
    <w:rsid w:val="248D6BDD"/>
    <w:rsid w:val="24A6658A"/>
    <w:rsid w:val="250D568B"/>
    <w:rsid w:val="25134332"/>
    <w:rsid w:val="257E508F"/>
    <w:rsid w:val="259E7FE7"/>
    <w:rsid w:val="25EB44C9"/>
    <w:rsid w:val="25EF0CD5"/>
    <w:rsid w:val="26A81CFE"/>
    <w:rsid w:val="26BF5712"/>
    <w:rsid w:val="26C67893"/>
    <w:rsid w:val="27723456"/>
    <w:rsid w:val="27AB7429"/>
    <w:rsid w:val="27D361E8"/>
    <w:rsid w:val="27DA2990"/>
    <w:rsid w:val="27DC4BF0"/>
    <w:rsid w:val="27F568CA"/>
    <w:rsid w:val="280018F9"/>
    <w:rsid w:val="285C053E"/>
    <w:rsid w:val="285D1F7C"/>
    <w:rsid w:val="29224BB7"/>
    <w:rsid w:val="29717E3A"/>
    <w:rsid w:val="29722E3B"/>
    <w:rsid w:val="29A82CEC"/>
    <w:rsid w:val="29C1594E"/>
    <w:rsid w:val="29FA7F26"/>
    <w:rsid w:val="2A0B1975"/>
    <w:rsid w:val="2A16649E"/>
    <w:rsid w:val="2A1C7F7A"/>
    <w:rsid w:val="2A377D68"/>
    <w:rsid w:val="2ADC6770"/>
    <w:rsid w:val="2AF44FE6"/>
    <w:rsid w:val="2B110405"/>
    <w:rsid w:val="2B462E28"/>
    <w:rsid w:val="2B493234"/>
    <w:rsid w:val="2B774832"/>
    <w:rsid w:val="2B9245E1"/>
    <w:rsid w:val="2BE97958"/>
    <w:rsid w:val="2C9E3BA5"/>
    <w:rsid w:val="2CA213FE"/>
    <w:rsid w:val="2CBB607D"/>
    <w:rsid w:val="2D0C387F"/>
    <w:rsid w:val="2D1F6DB1"/>
    <w:rsid w:val="2D3B6C71"/>
    <w:rsid w:val="2D4062FB"/>
    <w:rsid w:val="2D5767C7"/>
    <w:rsid w:val="2D5B5F1D"/>
    <w:rsid w:val="2D824E14"/>
    <w:rsid w:val="2E3B1483"/>
    <w:rsid w:val="2EF8707E"/>
    <w:rsid w:val="2F1251F2"/>
    <w:rsid w:val="2F964608"/>
    <w:rsid w:val="2FB8281E"/>
    <w:rsid w:val="2FBD4F2D"/>
    <w:rsid w:val="2FF07D79"/>
    <w:rsid w:val="30034E22"/>
    <w:rsid w:val="301B03BB"/>
    <w:rsid w:val="304332F0"/>
    <w:rsid w:val="30451F8C"/>
    <w:rsid w:val="305236B6"/>
    <w:rsid w:val="30962F3E"/>
    <w:rsid w:val="30BB1437"/>
    <w:rsid w:val="30D17E68"/>
    <w:rsid w:val="30FF2795"/>
    <w:rsid w:val="3142792B"/>
    <w:rsid w:val="317416DC"/>
    <w:rsid w:val="326F0DF2"/>
    <w:rsid w:val="329A6ACE"/>
    <w:rsid w:val="32A17BD5"/>
    <w:rsid w:val="32AE7F22"/>
    <w:rsid w:val="32E11070"/>
    <w:rsid w:val="32F4625A"/>
    <w:rsid w:val="32FE6690"/>
    <w:rsid w:val="33605EE8"/>
    <w:rsid w:val="33DE30BF"/>
    <w:rsid w:val="34370E35"/>
    <w:rsid w:val="34CA4EC0"/>
    <w:rsid w:val="34F4314F"/>
    <w:rsid w:val="350551CF"/>
    <w:rsid w:val="35210CAE"/>
    <w:rsid w:val="356B1632"/>
    <w:rsid w:val="35973671"/>
    <w:rsid w:val="35FC552E"/>
    <w:rsid w:val="360B1D73"/>
    <w:rsid w:val="361F3323"/>
    <w:rsid w:val="36E93760"/>
    <w:rsid w:val="374A7290"/>
    <w:rsid w:val="3784394E"/>
    <w:rsid w:val="37B223A3"/>
    <w:rsid w:val="37B36462"/>
    <w:rsid w:val="37C5371E"/>
    <w:rsid w:val="37D71C03"/>
    <w:rsid w:val="38755673"/>
    <w:rsid w:val="38AE3BB0"/>
    <w:rsid w:val="38D156BE"/>
    <w:rsid w:val="38FB4B01"/>
    <w:rsid w:val="397E2D46"/>
    <w:rsid w:val="39B6740A"/>
    <w:rsid w:val="39E74661"/>
    <w:rsid w:val="3ACB5746"/>
    <w:rsid w:val="3BA14F79"/>
    <w:rsid w:val="3BB20883"/>
    <w:rsid w:val="3BD5103C"/>
    <w:rsid w:val="3BE84F9A"/>
    <w:rsid w:val="3C432872"/>
    <w:rsid w:val="3C4F07E0"/>
    <w:rsid w:val="3C5D7296"/>
    <w:rsid w:val="3C7C3D2F"/>
    <w:rsid w:val="3C895B6B"/>
    <w:rsid w:val="3D6153E1"/>
    <w:rsid w:val="3DA8275C"/>
    <w:rsid w:val="3DB505FB"/>
    <w:rsid w:val="3E037C2A"/>
    <w:rsid w:val="3E441C7D"/>
    <w:rsid w:val="3F00340A"/>
    <w:rsid w:val="3F153348"/>
    <w:rsid w:val="3F9159B8"/>
    <w:rsid w:val="3FC956FF"/>
    <w:rsid w:val="3FE60650"/>
    <w:rsid w:val="407F702F"/>
    <w:rsid w:val="40971C4A"/>
    <w:rsid w:val="40A36A71"/>
    <w:rsid w:val="40B04448"/>
    <w:rsid w:val="410E4736"/>
    <w:rsid w:val="41187F23"/>
    <w:rsid w:val="413A2290"/>
    <w:rsid w:val="417D416D"/>
    <w:rsid w:val="41905AB1"/>
    <w:rsid w:val="41A61D7F"/>
    <w:rsid w:val="41C00F93"/>
    <w:rsid w:val="41D3631F"/>
    <w:rsid w:val="41F466FD"/>
    <w:rsid w:val="4210241D"/>
    <w:rsid w:val="42194B13"/>
    <w:rsid w:val="42A67A24"/>
    <w:rsid w:val="42C76D60"/>
    <w:rsid w:val="42D846B9"/>
    <w:rsid w:val="43B02549"/>
    <w:rsid w:val="440D5045"/>
    <w:rsid w:val="44397BAF"/>
    <w:rsid w:val="44746DDB"/>
    <w:rsid w:val="44893BAE"/>
    <w:rsid w:val="44A70D48"/>
    <w:rsid w:val="45B85E26"/>
    <w:rsid w:val="45BE6191"/>
    <w:rsid w:val="45DB7644"/>
    <w:rsid w:val="460C5979"/>
    <w:rsid w:val="464D2C79"/>
    <w:rsid w:val="465A7625"/>
    <w:rsid w:val="46806B9D"/>
    <w:rsid w:val="47184FFF"/>
    <w:rsid w:val="47207366"/>
    <w:rsid w:val="474F411A"/>
    <w:rsid w:val="4752162B"/>
    <w:rsid w:val="475D13A6"/>
    <w:rsid w:val="47691610"/>
    <w:rsid w:val="47C01792"/>
    <w:rsid w:val="47EB088B"/>
    <w:rsid w:val="4808150F"/>
    <w:rsid w:val="48517D1C"/>
    <w:rsid w:val="48565370"/>
    <w:rsid w:val="48AA39FF"/>
    <w:rsid w:val="48AF221F"/>
    <w:rsid w:val="48B1690E"/>
    <w:rsid w:val="48DF7E34"/>
    <w:rsid w:val="48F12D38"/>
    <w:rsid w:val="48F92E9A"/>
    <w:rsid w:val="491318B0"/>
    <w:rsid w:val="494906E8"/>
    <w:rsid w:val="496129FF"/>
    <w:rsid w:val="49E9233D"/>
    <w:rsid w:val="4A34364E"/>
    <w:rsid w:val="4A664C4F"/>
    <w:rsid w:val="4A697768"/>
    <w:rsid w:val="4A73221E"/>
    <w:rsid w:val="4AAD1944"/>
    <w:rsid w:val="4AC31003"/>
    <w:rsid w:val="4ACD042D"/>
    <w:rsid w:val="4ADA21EC"/>
    <w:rsid w:val="4AE93159"/>
    <w:rsid w:val="4B2A1B61"/>
    <w:rsid w:val="4B3B19F6"/>
    <w:rsid w:val="4BA439C5"/>
    <w:rsid w:val="4BA77D67"/>
    <w:rsid w:val="4BD0339A"/>
    <w:rsid w:val="4BDE1E2D"/>
    <w:rsid w:val="4BE16A98"/>
    <w:rsid w:val="4BE24765"/>
    <w:rsid w:val="4BEE7C57"/>
    <w:rsid w:val="4C051CA5"/>
    <w:rsid w:val="4C2E3FB8"/>
    <w:rsid w:val="4C7E2566"/>
    <w:rsid w:val="4CFE29FF"/>
    <w:rsid w:val="4D127C7A"/>
    <w:rsid w:val="4D3505E2"/>
    <w:rsid w:val="4D462159"/>
    <w:rsid w:val="4D5C5FAC"/>
    <w:rsid w:val="4DC605B6"/>
    <w:rsid w:val="4DEC0985"/>
    <w:rsid w:val="4E0D5FC2"/>
    <w:rsid w:val="4E116B57"/>
    <w:rsid w:val="4E27683A"/>
    <w:rsid w:val="4E581753"/>
    <w:rsid w:val="4F134582"/>
    <w:rsid w:val="4F2765B1"/>
    <w:rsid w:val="4F285975"/>
    <w:rsid w:val="4F394599"/>
    <w:rsid w:val="4F486787"/>
    <w:rsid w:val="4F5C5C4F"/>
    <w:rsid w:val="4FE82C85"/>
    <w:rsid w:val="4FE93CFB"/>
    <w:rsid w:val="4FF728EC"/>
    <w:rsid w:val="501C6848"/>
    <w:rsid w:val="503A31EC"/>
    <w:rsid w:val="505F481B"/>
    <w:rsid w:val="50643636"/>
    <w:rsid w:val="5072683C"/>
    <w:rsid w:val="50F22617"/>
    <w:rsid w:val="51796EDE"/>
    <w:rsid w:val="51867298"/>
    <w:rsid w:val="519733D2"/>
    <w:rsid w:val="51C0356B"/>
    <w:rsid w:val="51FB0FD7"/>
    <w:rsid w:val="52195EDF"/>
    <w:rsid w:val="52313387"/>
    <w:rsid w:val="52372DD8"/>
    <w:rsid w:val="52E04D27"/>
    <w:rsid w:val="531B6DDA"/>
    <w:rsid w:val="53433A4D"/>
    <w:rsid w:val="536A1C40"/>
    <w:rsid w:val="539A390F"/>
    <w:rsid w:val="53AE2B51"/>
    <w:rsid w:val="53B8126D"/>
    <w:rsid w:val="53DB3477"/>
    <w:rsid w:val="54050387"/>
    <w:rsid w:val="54663B81"/>
    <w:rsid w:val="54AF6B42"/>
    <w:rsid w:val="54C05FB3"/>
    <w:rsid w:val="550D783E"/>
    <w:rsid w:val="55930A35"/>
    <w:rsid w:val="55BE3D1E"/>
    <w:rsid w:val="55DD6F2A"/>
    <w:rsid w:val="55FC345E"/>
    <w:rsid w:val="56026EFB"/>
    <w:rsid w:val="560B3273"/>
    <w:rsid w:val="569847C2"/>
    <w:rsid w:val="56CC141A"/>
    <w:rsid w:val="56E23970"/>
    <w:rsid w:val="572F71D2"/>
    <w:rsid w:val="5759523B"/>
    <w:rsid w:val="577A3C7D"/>
    <w:rsid w:val="577E4AFB"/>
    <w:rsid w:val="578F220A"/>
    <w:rsid w:val="57FC07D9"/>
    <w:rsid w:val="58194222"/>
    <w:rsid w:val="5836233F"/>
    <w:rsid w:val="58500F22"/>
    <w:rsid w:val="58966471"/>
    <w:rsid w:val="58C23759"/>
    <w:rsid w:val="591C0009"/>
    <w:rsid w:val="598A6BFF"/>
    <w:rsid w:val="599C01F6"/>
    <w:rsid w:val="5ACF0F3A"/>
    <w:rsid w:val="5B1603EC"/>
    <w:rsid w:val="5B1C4FF6"/>
    <w:rsid w:val="5B57005E"/>
    <w:rsid w:val="5BFC0F0C"/>
    <w:rsid w:val="5C1B0C33"/>
    <w:rsid w:val="5C6B1600"/>
    <w:rsid w:val="5C921AD0"/>
    <w:rsid w:val="5CA03F6D"/>
    <w:rsid w:val="5CAE2472"/>
    <w:rsid w:val="5CC852E6"/>
    <w:rsid w:val="5CDF7393"/>
    <w:rsid w:val="5D0726B3"/>
    <w:rsid w:val="5D093C4D"/>
    <w:rsid w:val="5D1730C3"/>
    <w:rsid w:val="5DC43E7D"/>
    <w:rsid w:val="5DFD51DB"/>
    <w:rsid w:val="5E0D36E5"/>
    <w:rsid w:val="5E197A44"/>
    <w:rsid w:val="5E3C0FA2"/>
    <w:rsid w:val="5E524674"/>
    <w:rsid w:val="5EEA3C7E"/>
    <w:rsid w:val="5F8D5EE2"/>
    <w:rsid w:val="5F940FE9"/>
    <w:rsid w:val="5FCA1888"/>
    <w:rsid w:val="601A5E88"/>
    <w:rsid w:val="60732C85"/>
    <w:rsid w:val="607C3753"/>
    <w:rsid w:val="60BE16E5"/>
    <w:rsid w:val="60C30855"/>
    <w:rsid w:val="61421EFD"/>
    <w:rsid w:val="615C5041"/>
    <w:rsid w:val="61786237"/>
    <w:rsid w:val="617F0432"/>
    <w:rsid w:val="618F1F85"/>
    <w:rsid w:val="61F55E26"/>
    <w:rsid w:val="61FE4A05"/>
    <w:rsid w:val="623D07B2"/>
    <w:rsid w:val="6251311C"/>
    <w:rsid w:val="627231ED"/>
    <w:rsid w:val="62E621FB"/>
    <w:rsid w:val="63405064"/>
    <w:rsid w:val="634C1066"/>
    <w:rsid w:val="635E3007"/>
    <w:rsid w:val="63A811AC"/>
    <w:rsid w:val="63AA2DFA"/>
    <w:rsid w:val="643676BA"/>
    <w:rsid w:val="64373315"/>
    <w:rsid w:val="648A6B6F"/>
    <w:rsid w:val="64CE4B6A"/>
    <w:rsid w:val="64D701F7"/>
    <w:rsid w:val="65AC76E7"/>
    <w:rsid w:val="65E676E4"/>
    <w:rsid w:val="65EC5602"/>
    <w:rsid w:val="664805B8"/>
    <w:rsid w:val="666303A8"/>
    <w:rsid w:val="668C24ED"/>
    <w:rsid w:val="66AB3C29"/>
    <w:rsid w:val="673D4841"/>
    <w:rsid w:val="678D36F2"/>
    <w:rsid w:val="690F418B"/>
    <w:rsid w:val="696703D5"/>
    <w:rsid w:val="69791851"/>
    <w:rsid w:val="698A367B"/>
    <w:rsid w:val="699D147A"/>
    <w:rsid w:val="69B0699A"/>
    <w:rsid w:val="6A2A5128"/>
    <w:rsid w:val="6A7A2736"/>
    <w:rsid w:val="6A7B4B9C"/>
    <w:rsid w:val="6A842EE2"/>
    <w:rsid w:val="6ADD358F"/>
    <w:rsid w:val="6B183B96"/>
    <w:rsid w:val="6B8D1288"/>
    <w:rsid w:val="6B9601C8"/>
    <w:rsid w:val="6BDB596D"/>
    <w:rsid w:val="6BDC3CEA"/>
    <w:rsid w:val="6C053147"/>
    <w:rsid w:val="6C7D734C"/>
    <w:rsid w:val="6C89456C"/>
    <w:rsid w:val="6C8B4E38"/>
    <w:rsid w:val="6CB04ED8"/>
    <w:rsid w:val="6CB164A3"/>
    <w:rsid w:val="6D646DD1"/>
    <w:rsid w:val="6DA361F8"/>
    <w:rsid w:val="6DF20C35"/>
    <w:rsid w:val="6DFC17DA"/>
    <w:rsid w:val="6E2070ED"/>
    <w:rsid w:val="6E941B7D"/>
    <w:rsid w:val="6EFD5D4F"/>
    <w:rsid w:val="6F901B66"/>
    <w:rsid w:val="6FA048E8"/>
    <w:rsid w:val="6FA629D4"/>
    <w:rsid w:val="6FD10552"/>
    <w:rsid w:val="6FDD429D"/>
    <w:rsid w:val="6FE0348E"/>
    <w:rsid w:val="6FE66249"/>
    <w:rsid w:val="6FF52436"/>
    <w:rsid w:val="707570E7"/>
    <w:rsid w:val="70844A7A"/>
    <w:rsid w:val="70AB551D"/>
    <w:rsid w:val="70BB2EF0"/>
    <w:rsid w:val="71124DFA"/>
    <w:rsid w:val="71167F88"/>
    <w:rsid w:val="71801592"/>
    <w:rsid w:val="71CE75C1"/>
    <w:rsid w:val="71D671D3"/>
    <w:rsid w:val="71D87923"/>
    <w:rsid w:val="72015C4E"/>
    <w:rsid w:val="72EE63F8"/>
    <w:rsid w:val="72F3733F"/>
    <w:rsid w:val="730F5491"/>
    <w:rsid w:val="732436F0"/>
    <w:rsid w:val="73455C21"/>
    <w:rsid w:val="735C65AA"/>
    <w:rsid w:val="737816D3"/>
    <w:rsid w:val="73866814"/>
    <w:rsid w:val="73B2000B"/>
    <w:rsid w:val="73D425F7"/>
    <w:rsid w:val="73D42900"/>
    <w:rsid w:val="73DE7063"/>
    <w:rsid w:val="74177C10"/>
    <w:rsid w:val="74251D81"/>
    <w:rsid w:val="74D5639C"/>
    <w:rsid w:val="74F20F19"/>
    <w:rsid w:val="750A2023"/>
    <w:rsid w:val="752914A1"/>
    <w:rsid w:val="752F5E91"/>
    <w:rsid w:val="75473A8A"/>
    <w:rsid w:val="75EB44AF"/>
    <w:rsid w:val="760C3159"/>
    <w:rsid w:val="76723F77"/>
    <w:rsid w:val="76726229"/>
    <w:rsid w:val="7676736A"/>
    <w:rsid w:val="76933951"/>
    <w:rsid w:val="771D661B"/>
    <w:rsid w:val="771F7714"/>
    <w:rsid w:val="77810974"/>
    <w:rsid w:val="77853627"/>
    <w:rsid w:val="77EB59EA"/>
    <w:rsid w:val="77F82DBD"/>
    <w:rsid w:val="78092D61"/>
    <w:rsid w:val="78396F39"/>
    <w:rsid w:val="7852406F"/>
    <w:rsid w:val="78564BCE"/>
    <w:rsid w:val="786F3252"/>
    <w:rsid w:val="78782A0D"/>
    <w:rsid w:val="79164B52"/>
    <w:rsid w:val="79A2171F"/>
    <w:rsid w:val="79A252FF"/>
    <w:rsid w:val="79D33056"/>
    <w:rsid w:val="7A4018C3"/>
    <w:rsid w:val="7A635203"/>
    <w:rsid w:val="7AAF2C99"/>
    <w:rsid w:val="7B1C5C9E"/>
    <w:rsid w:val="7C26369C"/>
    <w:rsid w:val="7C4D65CE"/>
    <w:rsid w:val="7C6418C3"/>
    <w:rsid w:val="7C9E5A24"/>
    <w:rsid w:val="7CAC00CB"/>
    <w:rsid w:val="7CAE1C6B"/>
    <w:rsid w:val="7D1B5A2E"/>
    <w:rsid w:val="7D575412"/>
    <w:rsid w:val="7D62117D"/>
    <w:rsid w:val="7DA179B0"/>
    <w:rsid w:val="7DB01D78"/>
    <w:rsid w:val="7DB54254"/>
    <w:rsid w:val="7DF911D7"/>
    <w:rsid w:val="7E377BE4"/>
    <w:rsid w:val="7E3E1EF2"/>
    <w:rsid w:val="7E951513"/>
    <w:rsid w:val="7E9C3B0B"/>
    <w:rsid w:val="7EE44EBB"/>
    <w:rsid w:val="7EF74FC9"/>
    <w:rsid w:val="7F9F0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iPriority="99"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5">
    <w:name w:val="caption"/>
    <w:basedOn w:val="1"/>
    <w:next w:val="1"/>
    <w:semiHidden/>
    <w:unhideWhenUsed/>
    <w:qFormat/>
    <w:uiPriority w:val="99"/>
    <w:rPr>
      <w:rFonts w:ascii="Arial" w:hAnsi="Arial" w:eastAsia="黑体"/>
      <w:sz w:val="20"/>
    </w:rPr>
  </w:style>
  <w:style w:type="paragraph" w:styleId="6">
    <w:name w:val="annotation text"/>
    <w:basedOn w:val="1"/>
    <w:link w:val="60"/>
    <w:semiHidden/>
    <w:unhideWhenUsed/>
    <w:qFormat/>
    <w:uiPriority w:val="0"/>
  </w:style>
  <w:style w:type="paragraph" w:styleId="7">
    <w:name w:val="toc 3"/>
    <w:basedOn w:val="1"/>
    <w:next w:val="1"/>
    <w:unhideWhenUsed/>
    <w:qFormat/>
    <w:uiPriority w:val="99"/>
    <w:pPr>
      <w:adjustRightInd w:val="0"/>
      <w:ind w:left="1282" w:leftChars="400" w:hanging="442" w:hangingChars="200"/>
    </w:pPr>
    <w:rPr>
      <w:b/>
      <w:i/>
      <w:sz w:val="20"/>
    </w:rPr>
  </w:style>
  <w:style w:type="paragraph" w:styleId="8">
    <w:name w:val="Balloon Text"/>
    <w:basedOn w:val="1"/>
    <w:link w:val="59"/>
    <w:semiHidden/>
    <w:unhideWhenUsed/>
    <w:qFormat/>
    <w:uiPriority w:val="99"/>
    <w:pPr>
      <w:spacing w:before="0" w:after="0"/>
    </w:pPr>
    <w:rPr>
      <w:sz w:val="18"/>
      <w:szCs w:val="18"/>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99"/>
    <w:pPr>
      <w:tabs>
        <w:tab w:val="decimal" w:pos="0"/>
        <w:tab w:val="right" w:pos="9660"/>
      </w:tabs>
      <w:ind w:right="420" w:rightChars="200"/>
      <w:jc w:val="left"/>
    </w:pPr>
    <w:rPr>
      <w:rFonts w:eastAsiaTheme="minorEastAsia"/>
      <w:b/>
      <w:bCs/>
      <w:i/>
      <w:iCs/>
      <w:sz w:val="20"/>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4">
    <w:name w:val="Normal (Web)"/>
    <w:basedOn w:val="1"/>
    <w:semiHidden/>
    <w:unhideWhenUsed/>
    <w:qFormat/>
    <w:uiPriority w:val="99"/>
    <w:pPr>
      <w:spacing w:before="0" w:after="0"/>
      <w:jc w:val="left"/>
    </w:pPr>
    <w:rPr>
      <w:kern w:val="0"/>
      <w:sz w:val="24"/>
    </w:rPr>
  </w:style>
  <w:style w:type="paragraph" w:styleId="15">
    <w:name w:val="annotation subject"/>
    <w:basedOn w:val="6"/>
    <w:next w:val="6"/>
    <w:link w:val="61"/>
    <w:semiHidden/>
    <w:unhideWhenUsed/>
    <w:qFormat/>
    <w:uiPriority w:val="99"/>
    <w:pPr>
      <w:jc w:val="left"/>
    </w:pPr>
    <w:rPr>
      <w:b/>
      <w:bCs/>
    </w:rPr>
  </w:style>
  <w:style w:type="table" w:styleId="17">
    <w:name w:val="Table Grid"/>
    <w:basedOn w:val="1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semiHidden/>
    <w:unhideWhenUsed/>
    <w:qFormat/>
    <w:uiPriority w:val="99"/>
    <w:rPr>
      <w:b/>
      <w:sz w:val="20"/>
      <w:szCs w:val="20"/>
    </w:rPr>
  </w:style>
  <w:style w:type="character" w:styleId="20">
    <w:name w:val="FollowedHyperlink"/>
    <w:basedOn w:val="18"/>
    <w:semiHidden/>
    <w:unhideWhenUsed/>
    <w:qFormat/>
    <w:uiPriority w:val="99"/>
    <w:rPr>
      <w:color w:val="409EFF"/>
      <w:u w:val="none"/>
    </w:rPr>
  </w:style>
  <w:style w:type="character" w:styleId="21">
    <w:name w:val="HTML Definition"/>
    <w:basedOn w:val="18"/>
    <w:semiHidden/>
    <w:unhideWhenUsed/>
    <w:qFormat/>
    <w:uiPriority w:val="99"/>
    <w:rPr>
      <w:b/>
      <w:i/>
      <w:color w:val="FFFFFF"/>
      <w:sz w:val="14"/>
      <w:szCs w:val="14"/>
      <w:shd w:val="clear" w:color="auto" w:fill="777777"/>
    </w:rPr>
  </w:style>
  <w:style w:type="character" w:styleId="22">
    <w:name w:val="Hyperlink"/>
    <w:basedOn w:val="18"/>
    <w:semiHidden/>
    <w:unhideWhenUsed/>
    <w:qFormat/>
    <w:uiPriority w:val="99"/>
    <w:rPr>
      <w:color w:val="409EFF"/>
      <w:u w:val="none"/>
    </w:rPr>
  </w:style>
  <w:style w:type="character" w:styleId="23">
    <w:name w:val="HTML Code"/>
    <w:basedOn w:val="18"/>
    <w:semiHidden/>
    <w:unhideWhenUsed/>
    <w:qFormat/>
    <w:uiPriority w:val="99"/>
    <w:rPr>
      <w:rFonts w:ascii="Consolas" w:hAnsi="Consolas" w:eastAsia="Consolas" w:cs="Consolas"/>
      <w:color w:val="C7254E"/>
      <w:sz w:val="21"/>
      <w:szCs w:val="21"/>
      <w:shd w:val="clear" w:color="auto" w:fill="F9F2F4"/>
    </w:rPr>
  </w:style>
  <w:style w:type="character" w:styleId="24">
    <w:name w:val="annotation reference"/>
    <w:basedOn w:val="18"/>
    <w:semiHidden/>
    <w:unhideWhenUsed/>
    <w:qFormat/>
    <w:uiPriority w:val="99"/>
    <w:rPr>
      <w:sz w:val="21"/>
      <w:szCs w:val="21"/>
    </w:rPr>
  </w:style>
  <w:style w:type="character" w:styleId="25">
    <w:name w:val="HTML Keyboard"/>
    <w:basedOn w:val="18"/>
    <w:semiHidden/>
    <w:unhideWhenUsed/>
    <w:qFormat/>
    <w:uiPriority w:val="99"/>
    <w:rPr>
      <w:rFonts w:hint="default" w:ascii="Consolas" w:hAnsi="Consolas" w:eastAsia="Consolas" w:cs="Consolas"/>
      <w:color w:val="FFFFFF"/>
      <w:sz w:val="21"/>
      <w:szCs w:val="21"/>
      <w:shd w:val="clear" w:color="auto" w:fill="333333"/>
    </w:rPr>
  </w:style>
  <w:style w:type="character" w:styleId="26">
    <w:name w:val="HTML Sample"/>
    <w:basedOn w:val="18"/>
    <w:semiHidden/>
    <w:unhideWhenUsed/>
    <w:qFormat/>
    <w:uiPriority w:val="99"/>
    <w:rPr>
      <w:rFonts w:hint="default" w:ascii="Consolas" w:hAnsi="Consolas" w:eastAsia="Consolas" w:cs="Consolas"/>
      <w:sz w:val="21"/>
      <w:szCs w:val="21"/>
    </w:rPr>
  </w:style>
  <w:style w:type="paragraph" w:customStyle="1" w:styleId="27">
    <w:name w:val="YJ-Observation"/>
    <w:basedOn w:val="28"/>
    <w:qFormat/>
    <w:uiPriority w:val="0"/>
    <w:pPr>
      <w:numPr>
        <w:ilvl w:val="0"/>
        <w:numId w:val="2"/>
      </w:numPr>
      <w:tabs>
        <w:tab w:val="left" w:pos="420"/>
      </w:tabs>
    </w:pPr>
  </w:style>
  <w:style w:type="paragraph" w:customStyle="1" w:styleId="28">
    <w:name w:val="YJ-Proposal"/>
    <w:basedOn w:val="1"/>
    <w:qFormat/>
    <w:uiPriority w:val="0"/>
    <w:pPr>
      <w:numPr>
        <w:ilvl w:val="0"/>
        <w:numId w:val="3"/>
      </w:numPr>
      <w:jc w:val="left"/>
    </w:pPr>
    <w:rPr>
      <w:rFonts w:eastAsiaTheme="minorEastAsia"/>
      <w:b/>
      <w:bCs/>
      <w:i/>
      <w:iCs/>
      <w:sz w:val="20"/>
      <w:lang w:val="en-GB" w:eastAsia="en-US"/>
    </w:rPr>
  </w:style>
  <w:style w:type="paragraph" w:customStyle="1" w:styleId="29">
    <w:name w:val="sub-proposal"/>
    <w:basedOn w:val="28"/>
    <w:next w:val="1"/>
    <w:qFormat/>
    <w:uiPriority w:val="0"/>
    <w:pPr>
      <w:numPr>
        <w:numId w:val="4"/>
      </w:numPr>
      <w:tabs>
        <w:tab w:val="left" w:pos="420"/>
        <w:tab w:val="left" w:pos="807"/>
      </w:tabs>
      <w:ind w:left="862" w:leftChars="200" w:hanging="442" w:hangingChars="200"/>
    </w:pPr>
  </w:style>
  <w:style w:type="paragraph" w:customStyle="1" w:styleId="30">
    <w:name w:val="sub-observation"/>
    <w:basedOn w:val="29"/>
    <w:next w:val="1"/>
    <w:qFormat/>
    <w:uiPriority w:val="0"/>
  </w:style>
  <w:style w:type="paragraph" w:customStyle="1" w:styleId="31">
    <w:name w:val="3rd level proposal"/>
    <w:basedOn w:val="29"/>
    <w:next w:val="1"/>
    <w:qFormat/>
    <w:uiPriority w:val="0"/>
    <w:pPr>
      <w:numPr>
        <w:ilvl w:val="0"/>
        <w:numId w:val="5"/>
      </w:numPr>
      <w:ind w:left="1282" w:leftChars="400" w:hanging="442"/>
    </w:pPr>
  </w:style>
  <w:style w:type="paragraph" w:customStyle="1" w:styleId="32">
    <w:name w:val="3rd level observation"/>
    <w:basedOn w:val="30"/>
    <w:qFormat/>
    <w:uiPriority w:val="0"/>
    <w:pPr>
      <w:numPr>
        <w:ilvl w:val="0"/>
        <w:numId w:val="6"/>
      </w:numPr>
      <w:ind w:left="1282" w:leftChars="400" w:hanging="442"/>
    </w:pPr>
  </w:style>
  <w:style w:type="paragraph" w:customStyle="1" w:styleId="33">
    <w:name w:val="References"/>
    <w:basedOn w:val="1"/>
    <w:qFormat/>
    <w:uiPriority w:val="0"/>
    <w:pPr>
      <w:numPr>
        <w:ilvl w:val="0"/>
        <w:numId w:val="7"/>
      </w:numPr>
      <w:spacing w:after="60"/>
    </w:pPr>
    <w:rPr>
      <w:szCs w:val="16"/>
    </w:rPr>
  </w:style>
  <w:style w:type="paragraph" w:styleId="34">
    <w:name w:val="List Paragraph"/>
    <w:basedOn w:val="1"/>
    <w:qFormat/>
    <w:uiPriority w:val="34"/>
    <w:pPr>
      <w:spacing w:beforeLines="0" w:after="0"/>
      <w:ind w:left="720"/>
      <w:contextualSpacing/>
    </w:pPr>
    <w:rPr>
      <w:rFonts w:eastAsia="Times New Roman"/>
      <w:sz w:val="24"/>
      <w:szCs w:val="24"/>
    </w:rPr>
  </w:style>
  <w:style w:type="paragraph" w:customStyle="1" w:styleId="35">
    <w:name w:val="样式1"/>
    <w:basedOn w:val="1"/>
    <w:qFormat/>
    <w:uiPriority w:val="0"/>
  </w:style>
  <w:style w:type="paragraph" w:customStyle="1" w:styleId="36">
    <w:name w:val="样式2"/>
    <w:basedOn w:val="1"/>
    <w:qFormat/>
    <w:uiPriority w:val="0"/>
  </w:style>
  <w:style w:type="paragraph" w:customStyle="1" w:styleId="37">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character" w:customStyle="1" w:styleId="38">
    <w:name w:val="active3"/>
    <w:basedOn w:val="18"/>
    <w:qFormat/>
    <w:uiPriority w:val="0"/>
    <w:rPr>
      <w:color w:val="FFFFFF"/>
      <w:shd w:val="clear" w:color="auto" w:fill="006DCC"/>
    </w:rPr>
  </w:style>
  <w:style w:type="character" w:customStyle="1" w:styleId="39">
    <w:name w:val="hover16"/>
    <w:basedOn w:val="18"/>
    <w:qFormat/>
    <w:uiPriority w:val="0"/>
    <w:rPr>
      <w:shd w:val="clear" w:color="auto" w:fill="EEEEEE"/>
    </w:rPr>
  </w:style>
  <w:style w:type="character" w:customStyle="1" w:styleId="40">
    <w:name w:val="old"/>
    <w:basedOn w:val="18"/>
    <w:qFormat/>
    <w:uiPriority w:val="0"/>
    <w:rPr>
      <w:color w:val="999999"/>
    </w:rPr>
  </w:style>
  <w:style w:type="character" w:customStyle="1" w:styleId="41">
    <w:name w:val="badge58"/>
    <w:basedOn w:val="18"/>
    <w:qFormat/>
    <w:uiPriority w:val="0"/>
    <w:rPr>
      <w:b/>
      <w:color w:val="FFFFFF"/>
      <w:sz w:val="24"/>
      <w:szCs w:val="24"/>
      <w:shd w:val="clear" w:color="auto" w:fill="001F3F"/>
    </w:rPr>
  </w:style>
  <w:style w:type="character" w:customStyle="1" w:styleId="42">
    <w:name w:val="via2"/>
    <w:basedOn w:val="18"/>
    <w:qFormat/>
    <w:uiPriority w:val="0"/>
    <w:rPr>
      <w:color w:val="959595"/>
    </w:rPr>
  </w:style>
  <w:style w:type="character" w:customStyle="1" w:styleId="43">
    <w:name w:val="highlight1"/>
    <w:basedOn w:val="18"/>
    <w:qFormat/>
    <w:uiPriority w:val="0"/>
    <w:rPr>
      <w:shd w:val="clear" w:color="auto" w:fill="E8E5CB"/>
    </w:rPr>
  </w:style>
  <w:style w:type="character" w:customStyle="1" w:styleId="44">
    <w:name w:val="badge56"/>
    <w:basedOn w:val="18"/>
    <w:qFormat/>
    <w:uiPriority w:val="0"/>
    <w:rPr>
      <w:b/>
      <w:color w:val="FFFFFF"/>
      <w:sz w:val="24"/>
      <w:szCs w:val="24"/>
      <w:shd w:val="clear" w:color="auto" w:fill="001F3F"/>
    </w:rPr>
  </w:style>
  <w:style w:type="paragraph" w:customStyle="1" w:styleId="45">
    <w:name w:val="TAH"/>
    <w:basedOn w:val="46"/>
    <w:qFormat/>
    <w:uiPriority w:val="0"/>
    <w:rPr>
      <w:b/>
    </w:rPr>
  </w:style>
  <w:style w:type="paragraph" w:customStyle="1" w:styleId="46">
    <w:name w:val="TAC"/>
    <w:basedOn w:val="47"/>
    <w:qFormat/>
    <w:uiPriority w:val="0"/>
    <w:pPr>
      <w:jc w:val="center"/>
    </w:pPr>
  </w:style>
  <w:style w:type="paragraph" w:customStyle="1" w:styleId="47">
    <w:name w:val="TAL"/>
    <w:basedOn w:val="1"/>
    <w:qFormat/>
    <w:uiPriority w:val="0"/>
    <w:pPr>
      <w:keepNext/>
      <w:keepLines/>
      <w:spacing w:after="0"/>
    </w:pPr>
    <w:rPr>
      <w:rFonts w:ascii="Arial" w:hAnsi="Arial"/>
      <w:sz w:val="18"/>
    </w:rPr>
  </w:style>
  <w:style w:type="character" w:customStyle="1" w:styleId="48">
    <w:name w:val="badge"/>
    <w:basedOn w:val="18"/>
    <w:qFormat/>
    <w:uiPriority w:val="0"/>
    <w:rPr>
      <w:b/>
      <w:color w:val="FFFFFF"/>
      <w:sz w:val="24"/>
      <w:szCs w:val="24"/>
      <w:shd w:val="clear" w:color="auto" w:fill="001F3F"/>
    </w:rPr>
  </w:style>
  <w:style w:type="character" w:customStyle="1" w:styleId="49">
    <w:name w:val="hover"/>
    <w:basedOn w:val="18"/>
    <w:qFormat/>
    <w:uiPriority w:val="0"/>
    <w:rPr>
      <w:shd w:val="clear" w:color="auto" w:fill="EEEEEE"/>
    </w:rPr>
  </w:style>
  <w:style w:type="character" w:customStyle="1" w:styleId="50">
    <w:name w:val="hover14"/>
    <w:basedOn w:val="18"/>
    <w:qFormat/>
    <w:uiPriority w:val="0"/>
    <w:rPr>
      <w:shd w:val="clear" w:color="auto" w:fill="EEEEEE"/>
    </w:rPr>
  </w:style>
  <w:style w:type="character" w:customStyle="1" w:styleId="51">
    <w:name w:val="badge57"/>
    <w:basedOn w:val="18"/>
    <w:qFormat/>
    <w:uiPriority w:val="0"/>
    <w:rPr>
      <w:b/>
      <w:color w:val="FFFFFF"/>
      <w:sz w:val="24"/>
      <w:szCs w:val="24"/>
      <w:shd w:val="clear" w:color="auto" w:fill="001F3F"/>
    </w:rPr>
  </w:style>
  <w:style w:type="character" w:customStyle="1" w:styleId="52">
    <w:name w:val="active1"/>
    <w:basedOn w:val="18"/>
    <w:qFormat/>
    <w:uiPriority w:val="0"/>
    <w:rPr>
      <w:color w:val="FFFFFF"/>
      <w:shd w:val="clear" w:color="auto" w:fill="006DCC"/>
    </w:rPr>
  </w:style>
  <w:style w:type="paragraph" w:customStyle="1" w:styleId="53">
    <w:name w:val="TH"/>
    <w:basedOn w:val="1"/>
    <w:qFormat/>
    <w:uiPriority w:val="0"/>
    <w:pPr>
      <w:keepNext/>
      <w:keepLines/>
      <w:spacing w:before="60"/>
      <w:jc w:val="center"/>
    </w:pPr>
    <w:rPr>
      <w:rFonts w:ascii="Arial" w:hAnsi="Arial"/>
      <w:b/>
    </w:rPr>
  </w:style>
  <w:style w:type="character" w:customStyle="1" w:styleId="54">
    <w:name w:val="hover15"/>
    <w:basedOn w:val="18"/>
    <w:qFormat/>
    <w:uiPriority w:val="0"/>
    <w:rPr>
      <w:shd w:val="clear" w:color="auto" w:fill="EEEEEE"/>
    </w:rPr>
  </w:style>
  <w:style w:type="character" w:customStyle="1" w:styleId="55">
    <w:name w:val="font21"/>
    <w:basedOn w:val="18"/>
    <w:qFormat/>
    <w:uiPriority w:val="0"/>
    <w:rPr>
      <w:rFonts w:hint="default" w:ascii="Times New Roman" w:hAnsi="Times New Roman" w:cs="Times New Roman"/>
      <w:color w:val="000000"/>
      <w:sz w:val="20"/>
      <w:szCs w:val="20"/>
      <w:u w:val="none"/>
    </w:rPr>
  </w:style>
  <w:style w:type="character" w:customStyle="1" w:styleId="56">
    <w:name w:val="font11"/>
    <w:basedOn w:val="18"/>
    <w:qFormat/>
    <w:uiPriority w:val="0"/>
    <w:rPr>
      <w:rFonts w:hint="default" w:ascii="Symbol" w:hAnsi="Symbol" w:cs="Symbol"/>
      <w:b/>
      <w:color w:val="000000"/>
      <w:sz w:val="20"/>
      <w:szCs w:val="20"/>
      <w:u w:val="none"/>
    </w:rPr>
  </w:style>
  <w:style w:type="paragraph" w:customStyle="1" w:styleId="57">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paragraph" w:customStyle="1" w:styleId="58">
    <w:name w:val="TAN"/>
    <w:basedOn w:val="47"/>
    <w:qFormat/>
    <w:uiPriority w:val="0"/>
    <w:pPr>
      <w:ind w:left="851" w:hanging="851"/>
    </w:pPr>
  </w:style>
  <w:style w:type="character" w:customStyle="1" w:styleId="59">
    <w:name w:val="批注框文本 Char"/>
    <w:basedOn w:val="18"/>
    <w:link w:val="8"/>
    <w:semiHidden/>
    <w:qFormat/>
    <w:uiPriority w:val="99"/>
    <w:rPr>
      <w:kern w:val="2"/>
      <w:sz w:val="18"/>
      <w:szCs w:val="18"/>
    </w:rPr>
  </w:style>
  <w:style w:type="character" w:customStyle="1" w:styleId="60">
    <w:name w:val="批注文字 Char"/>
    <w:basedOn w:val="18"/>
    <w:link w:val="6"/>
    <w:semiHidden/>
    <w:qFormat/>
    <w:uiPriority w:val="0"/>
    <w:rPr>
      <w:kern w:val="2"/>
      <w:sz w:val="21"/>
    </w:rPr>
  </w:style>
  <w:style w:type="character" w:customStyle="1" w:styleId="61">
    <w:name w:val="批注主题 Char"/>
    <w:basedOn w:val="60"/>
    <w:link w:val="15"/>
    <w:semiHidden/>
    <w:qFormat/>
    <w:uiPriority w:val="99"/>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chart" Target="charts/chart4.xml"/><Relationship Id="rId25" Type="http://schemas.openxmlformats.org/officeDocument/2006/relationships/chart" Target="charts/chart3.xml"/><Relationship Id="rId24" Type="http://schemas.openxmlformats.org/officeDocument/2006/relationships/chart" Target="charts/chart2.xml"/><Relationship Id="rId23" Type="http://schemas.openxmlformats.org/officeDocument/2006/relationships/chart" Target="charts/chart1.xml"/><Relationship Id="rId22" Type="http://schemas.openxmlformats.org/officeDocument/2006/relationships/image" Target="media/image8.wmf"/><Relationship Id="rId21" Type="http://schemas.openxmlformats.org/officeDocument/2006/relationships/oleObject" Target="embeddings/oleObject5.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6.wmf"/><Relationship Id="rId17" Type="http://schemas.openxmlformats.org/officeDocument/2006/relationships/oleObject" Target="embeddings/oleObject3.bin"/><Relationship Id="rId16" Type="http://schemas.openxmlformats.org/officeDocument/2006/relationships/image" Target="media/image5.wmf"/><Relationship Id="rId15" Type="http://schemas.openxmlformats.org/officeDocument/2006/relationships/oleObject" Target="embeddings/oleObject2.bin"/><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3GPP-RAN1\R18-NW%20PS\SLS%20results%20for%20RAN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3GPP-RAN1\R18-NW%20PS\SLS%20results%20for%20RAN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3GPP-RAN1\R18-NW%20PS\SLS%20results%20for%20RAN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3GPP-RAN1\R18-NW%20PS\SLS%20results%20for%20RAN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mn-lt"/>
                <a:ea typeface="+mn-ea"/>
                <a:cs typeface="+mn-cs"/>
              </a:defRPr>
            </a:pPr>
            <a:r>
              <a:rPr lang="en-US" altLang="zh-CN" sz="1000">
                <a:solidFill>
                  <a:sysClr val="windowText" lastClr="000000"/>
                </a:solidFill>
              </a:rPr>
              <a:t>ES gain &amp; RU</a:t>
            </a:r>
            <a:endParaRPr lang="en-US" altLang="zh-CN" sz="100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2"/>
          <c:order val="2"/>
          <c:tx>
            <c:strRef>
              <c:f>'[SLS results for RAN1#110 - 副本.xlsx]Sheet1'!$D$14</c:f>
              <c:strCache>
                <c:ptCount val="1"/>
                <c:pt idx="0">
                  <c:v>ES gain ssb-less</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副本.xlsx]Sheet1'!$A$15:$A$18</c:f>
              <c:strCache>
                <c:ptCount val="4"/>
                <c:pt idx="0">
                  <c:v>case1</c:v>
                </c:pt>
                <c:pt idx="1">
                  <c:v>case2</c:v>
                </c:pt>
                <c:pt idx="2">
                  <c:v>case3</c:v>
                </c:pt>
                <c:pt idx="3">
                  <c:v>case4</c:v>
                </c:pt>
              </c:strCache>
            </c:strRef>
          </c:cat>
          <c:val>
            <c:numRef>
              <c:f>'[SLS results for RAN1#110 - 副本.xlsx]Sheet1'!$D$15:$D$18</c:f>
              <c:numCache>
                <c:formatCode>General</c:formatCode>
                <c:ptCount val="4"/>
                <c:pt idx="0">
                  <c:v>0.226012822057257</c:v>
                </c:pt>
                <c:pt idx="1">
                  <c:v>0.138622574627576</c:v>
                </c:pt>
                <c:pt idx="2">
                  <c:v>0.0722794603981609</c:v>
                </c:pt>
                <c:pt idx="3">
                  <c:v>0.0434972250886151</c:v>
                </c:pt>
              </c:numCache>
            </c:numRef>
          </c:val>
        </c:ser>
        <c:dLbls>
          <c:showLegendKey val="0"/>
          <c:showVal val="0"/>
          <c:showCatName val="0"/>
          <c:showSerName val="0"/>
          <c:showPercent val="0"/>
          <c:showBubbleSize val="0"/>
        </c:dLbls>
        <c:gapWidth val="219"/>
        <c:axId val="-114857584"/>
        <c:axId val="-114871184"/>
        <c:extLst>
          <c:ext xmlns:c15="http://schemas.microsoft.com/office/drawing/2012/chart" uri="{02D57815-91ED-43cb-92C2-25804820EDAC}">
            <c15:filteredBarSeries>
              <c15:ser>
                <c:idx val="4"/>
                <c:order val="3"/>
                <c:tx>
                  <c:strRef>
                    <c:extLst>
                      <c:ext uri="{02D57815-91ED-43cb-92C2-25804820EDAC}">
                        <c15:formulaRef>
                          <c15:sqref>'[SLS results for RAN1#110 - 副本.xlsx]Sheet1'!$E$14</c15:sqref>
                        </c15:formulaRef>
                      </c:ext>
                    </c:extLst>
                    <c:strCache>
                      <c:ptCount val="1"/>
                      <c:pt idx="0">
                        <c:v>UPT ratio ssb-less</c:v>
                      </c:pt>
                    </c:strCache>
                  </c:strRef>
                </c:tx>
                <c:spPr>
                  <a:solidFill>
                    <a:schemeClr val="accent5"/>
                  </a:solidFill>
                  <a:ln>
                    <a:noFill/>
                  </a:ln>
                  <a:effectLst/>
                </c:spPr>
                <c:invertIfNegative val="0"/>
                <c:dLbls>
                  <c:delete val="1"/>
                </c:dLbls>
                <c:cat>
                  <c:strRef>
                    <c:extLst>
                      <c:ext uri="{02D57815-91ED-43cb-92C2-25804820EDAC}">
                        <c15:fullRef>
                          <c15:sqref/>
                        </c15:fullRef>
                        <c15:formulaRef>
                          <c15:sqref>'[SLS results for RAN1#110 - 副本.xlsx]Sheet1'!$A$15:$A$18</c15:sqref>
                        </c15:formulaRef>
                      </c:ext>
                    </c:extLst>
                    <c:strCache>
                      <c:ptCount val="4"/>
                      <c:pt idx="0">
                        <c:v>case1</c:v>
                      </c:pt>
                      <c:pt idx="1">
                        <c:v>case2</c:v>
                      </c:pt>
                      <c:pt idx="2">
                        <c:v>case3</c:v>
                      </c:pt>
                      <c:pt idx="3">
                        <c:v>case4</c:v>
                      </c:pt>
                    </c:strCache>
                  </c:strRef>
                </c:cat>
                <c:val>
                  <c:numRef>
                    <c:extLst>
                      <c:ext uri="{02D57815-91ED-43cb-92C2-25804820EDAC}">
                        <c15:formulaRef>
                          <c15:sqref>{1.0163169428551,1.01868982797718,1.0137825548663,1.00712450948295}</c15:sqref>
                        </c15:formulaRef>
                      </c:ext>
                    </c:extLst>
                    <c:numCache>
                      <c:formatCode>General</c:formatCode>
                      <c:ptCount val="4"/>
                      <c:pt idx="0">
                        <c:v>1.0163169428551</c:v>
                      </c:pt>
                      <c:pt idx="1">
                        <c:v>1.01868982797718</c:v>
                      </c:pt>
                      <c:pt idx="2">
                        <c:v>1.0137825548663</c:v>
                      </c:pt>
                      <c:pt idx="3">
                        <c:v>1.00712450948295</c:v>
                      </c:pt>
                    </c:numCache>
                  </c:numRef>
                </c:val>
              </c15:ser>
            </c15:filteredBarSeries>
          </c:ext>
        </c:extLst>
      </c:barChart>
      <c:lineChart>
        <c:grouping val="standard"/>
        <c:varyColors val="0"/>
        <c:ser>
          <c:idx val="0"/>
          <c:order val="0"/>
          <c:tx>
            <c:strRef>
              <c:f>'[SLS results for RAN1#110 - 副本.xlsx]Sheet1'!$B$14</c:f>
              <c:strCache>
                <c:ptCount val="1"/>
                <c:pt idx="0">
                  <c:v>RU</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accent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副本.xlsx]Sheet1'!$A$15:$A$18</c:f>
              <c:strCache>
                <c:ptCount val="4"/>
                <c:pt idx="0">
                  <c:v>case1</c:v>
                </c:pt>
                <c:pt idx="1">
                  <c:v>case2</c:v>
                </c:pt>
                <c:pt idx="2">
                  <c:v>case3</c:v>
                </c:pt>
                <c:pt idx="3">
                  <c:v>case4</c:v>
                </c:pt>
              </c:strCache>
            </c:strRef>
          </c:cat>
          <c:val>
            <c:numRef>
              <c:f>'[SLS results for RAN1#110 - 副本.xlsx]Sheet1'!$B$15:$B$18</c:f>
              <c:numCache>
                <c:formatCode>General</c:formatCode>
                <c:ptCount val="4"/>
                <c:pt idx="0">
                  <c:v>0.0490259155631065</c:v>
                </c:pt>
                <c:pt idx="1">
                  <c:v>0.0973486006259918</c:v>
                </c:pt>
                <c:pt idx="2">
                  <c:v>0.236972585320473</c:v>
                </c:pt>
                <c:pt idx="3">
                  <c:v>0.374604165554047</c:v>
                </c:pt>
              </c:numCache>
            </c:numRef>
          </c:val>
          <c:smooth val="0"/>
        </c:ser>
        <c:dLbls>
          <c:showLegendKey val="0"/>
          <c:showVal val="1"/>
          <c:showCatName val="0"/>
          <c:showSerName val="0"/>
          <c:showPercent val="0"/>
          <c:showBubbleSize val="0"/>
        </c:dLbls>
        <c:marker val="1"/>
        <c:smooth val="0"/>
        <c:axId val="-114849968"/>
        <c:axId val="-114853776"/>
        <c:extLst>
          <c:ext xmlns:c15="http://schemas.microsoft.com/office/drawing/2012/chart" uri="{02D57815-91ED-43cb-92C2-25804820EDAC}">
            <c15:filteredLineSeries>
              <c15:ser>
                <c:idx val="1"/>
                <c:order val="1"/>
                <c:tx>
                  <c:strRef>
                    <c:extLst>
                      <c:ext uri="{02D57815-91ED-43cb-92C2-25804820EDAC}">
                        <c15:formulaRef>
                          <c15:sqref>'[SLS results for RAN1#110 - 副本.xlsx]Sheet1'!$C$14</c15:sqref>
                        </c15:formulaRef>
                      </c:ext>
                    </c:extLst>
                    <c:strCache>
                      <c:ptCount val="1"/>
                      <c:pt idx="0">
                        <c:v>RU ssb-less</c:v>
                      </c:pt>
                    </c:strCache>
                  </c:strRef>
                </c:tx>
                <c:spPr>
                  <a:ln w="28575" cap="rnd">
                    <a:solidFill>
                      <a:schemeClr val="accent2"/>
                    </a:solidFill>
                    <a:round/>
                  </a:ln>
                  <a:effectLst/>
                </c:spPr>
                <c:marker>
                  <c:symbol val="circle"/>
                  <c:size val="3"/>
                  <c:spPr>
                    <a:solidFill>
                      <a:schemeClr val="accent2"/>
                    </a:solidFill>
                    <a:ln w="9525">
                      <a:solidFill>
                        <a:schemeClr val="accent2"/>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chemeClr val="accent2"/>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副本.xlsx]Sheet1'!$A$15:$A$18</c15:sqref>
                        </c15:formulaRef>
                      </c:ext>
                    </c:extLst>
                    <c:strCache>
                      <c:ptCount val="4"/>
                      <c:pt idx="0">
                        <c:v>case1</c:v>
                      </c:pt>
                      <c:pt idx="1">
                        <c:v>case2</c:v>
                      </c:pt>
                      <c:pt idx="2">
                        <c:v>case3</c:v>
                      </c:pt>
                      <c:pt idx="3">
                        <c:v>case4</c:v>
                      </c:pt>
                    </c:strCache>
                  </c:strRef>
                </c:cat>
                <c:val>
                  <c:numRef>
                    <c:extLst>
                      <c:ext uri="{02D57815-91ED-43cb-92C2-25804820EDAC}">
                        <c15:formulaRef>
                          <c15:sqref>{0.0489364303648472,0.0963510200381279,0.235738873481751,0.373052805662155}</c15:sqref>
                        </c15:formulaRef>
                      </c:ext>
                    </c:extLst>
                    <c:numCache>
                      <c:formatCode>General</c:formatCode>
                      <c:ptCount val="4"/>
                      <c:pt idx="0">
                        <c:v>0.0489364303648472</c:v>
                      </c:pt>
                      <c:pt idx="1">
                        <c:v>0.0963510200381279</c:v>
                      </c:pt>
                      <c:pt idx="2">
                        <c:v>0.235738873481751</c:v>
                      </c:pt>
                      <c:pt idx="3">
                        <c:v>0.373052805662155</c:v>
                      </c:pt>
                    </c:numCache>
                  </c:numRef>
                </c:val>
                <c:smooth val="0"/>
              </c15:ser>
            </c15:filteredLineSeries>
          </c:ext>
        </c:extLst>
      </c:lineChart>
      <c:catAx>
        <c:axId val="-114857584"/>
        <c:scaling>
          <c:orientation val="minMax"/>
        </c:scaling>
        <c:delete val="0"/>
        <c:axPos val="b"/>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14871184"/>
        <c:crosses val="autoZero"/>
        <c:auto val="1"/>
        <c:lblAlgn val="ctr"/>
        <c:lblOffset val="100"/>
        <c:noMultiLvlLbl val="0"/>
      </c:catAx>
      <c:valAx>
        <c:axId val="-114871184"/>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14857584"/>
        <c:crosses val="autoZero"/>
        <c:crossBetween val="between"/>
        <c:majorUnit val="0.5"/>
        <c:minorUnit val="0.4"/>
      </c:valAx>
      <c:catAx>
        <c:axId val="-114849968"/>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114853776"/>
        <c:crosses val="autoZero"/>
        <c:auto val="1"/>
        <c:lblAlgn val="ctr"/>
        <c:lblOffset val="100"/>
        <c:noMultiLvlLbl val="0"/>
      </c:catAx>
      <c:valAx>
        <c:axId val="-114853776"/>
        <c:scaling>
          <c:logBase val="10"/>
          <c:orientation val="minMax"/>
          <c:max val="0.6"/>
          <c:min val="0.00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RU (%)</a:t>
                </a:r>
                <a:endParaRPr lang="en-US" altLang="zh-CN" sz="800">
                  <a:solidFill>
                    <a:sysClr val="windowText" lastClr="000000"/>
                  </a:solidFill>
                </a:endParaRPr>
              </a:p>
            </c:rich>
          </c:tx>
          <c:layout/>
          <c:overlay val="0"/>
          <c:spPr>
            <a:noFill/>
            <a:ln>
              <a:noFill/>
            </a:ln>
            <a:effectLst/>
          </c:spPr>
        </c:title>
        <c:numFmt formatCode="#,##0.00_);[Red]\(#,##0.00\)" sourceLinked="0"/>
        <c:majorTickMark val="out"/>
        <c:minorTickMark val="none"/>
        <c:tickLblPos val="nextTo"/>
        <c:spPr>
          <a:noFill/>
          <a:ln>
            <a:noFill/>
          </a:ln>
          <a:effectLst/>
        </c:spPr>
        <c:txPr>
          <a:bodyPr rot="-60000000" spcFirstLastPara="0" vertOverflow="ellipsis" vert="horz" wrap="square" anchor="ctr" anchorCtr="1"/>
          <a:lstStyle/>
          <a:p>
            <a:pPr>
              <a:defRPr lang="zh-CN" sz="300" b="0" i="0" u="none" strike="noStrike" kern="1200" baseline="0">
                <a:solidFill>
                  <a:schemeClr val="bg1"/>
                </a:solidFill>
                <a:latin typeface="+mn-lt"/>
                <a:ea typeface="+mn-ea"/>
                <a:cs typeface="+mn-cs"/>
              </a:defRPr>
            </a:pPr>
          </a:p>
        </c:txPr>
        <c:crossAx val="-114849968"/>
        <c:crosses val="max"/>
        <c:crossBetween val="between"/>
        <c:majorUnit val="0.1"/>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mn-lt"/>
                <a:ea typeface="+mn-ea"/>
                <a:cs typeface="+mn-cs"/>
              </a:defRPr>
            </a:pPr>
            <a:r>
              <a:rPr lang="en-US" altLang="zh-CN" sz="1000">
                <a:solidFill>
                  <a:sysClr val="windowText" lastClr="000000"/>
                </a:solidFill>
              </a:rPr>
              <a:t>UPT ratio &amp; RU</a:t>
            </a:r>
            <a:endParaRPr lang="en-US" altLang="zh-CN" sz="1000">
              <a:solidFill>
                <a:sysClr val="windowText" lastClr="000000"/>
              </a:solidFill>
            </a:endParaRPr>
          </a:p>
        </c:rich>
      </c:tx>
      <c:layout>
        <c:manualLayout>
          <c:xMode val="edge"/>
          <c:yMode val="edge"/>
          <c:x val="0.294685990338164"/>
          <c:y val="0.031615925058548"/>
        </c:manualLayout>
      </c:layout>
      <c:overlay val="0"/>
      <c:spPr>
        <a:noFill/>
        <a:ln>
          <a:noFill/>
        </a:ln>
        <a:effectLst/>
      </c:spPr>
    </c:title>
    <c:autoTitleDeleted val="0"/>
    <c:plotArea>
      <c:layout/>
      <c:barChart>
        <c:barDir val="col"/>
        <c:grouping val="clustered"/>
        <c:varyColors val="0"/>
        <c:ser>
          <c:idx val="4"/>
          <c:order val="3"/>
          <c:tx>
            <c:strRef>
              <c:f>'[SLS results for RAN1#110 - 副本.xlsx]Sheet1'!$E$14</c:f>
              <c:strCache>
                <c:ptCount val="1"/>
                <c:pt idx="0">
                  <c:v>UPT ratio ssb-less</c:v>
                </c:pt>
              </c:strCache>
            </c:strRef>
          </c:tx>
          <c:spPr>
            <a:solidFill>
              <a:schemeClr val="accent5"/>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副本.xlsx]Sheet1'!$A$15:$A$18</c:f>
              <c:strCache>
                <c:ptCount val="4"/>
                <c:pt idx="0">
                  <c:v>case1</c:v>
                </c:pt>
                <c:pt idx="1">
                  <c:v>case2</c:v>
                </c:pt>
                <c:pt idx="2">
                  <c:v>case3</c:v>
                </c:pt>
                <c:pt idx="3">
                  <c:v>case4</c:v>
                </c:pt>
              </c:strCache>
            </c:strRef>
          </c:cat>
          <c:val>
            <c:numRef>
              <c:f>'[SLS results for RAN1#110 - 副本.xlsx]Sheet1'!$E$15:$E$18</c:f>
              <c:numCache>
                <c:formatCode>General</c:formatCode>
                <c:ptCount val="4"/>
                <c:pt idx="0">
                  <c:v>1.0163169428551</c:v>
                </c:pt>
                <c:pt idx="1">
                  <c:v>1.01868982797718</c:v>
                </c:pt>
                <c:pt idx="2">
                  <c:v>1.0137825548663</c:v>
                </c:pt>
                <c:pt idx="3">
                  <c:v>1.00712450948295</c:v>
                </c:pt>
              </c:numCache>
            </c:numRef>
          </c:val>
        </c:ser>
        <c:dLbls>
          <c:showLegendKey val="0"/>
          <c:showVal val="0"/>
          <c:showCatName val="0"/>
          <c:showSerName val="0"/>
          <c:showPercent val="0"/>
          <c:showBubbleSize val="0"/>
        </c:dLbls>
        <c:gapWidth val="219"/>
        <c:axId val="-114852688"/>
        <c:axId val="-114873360"/>
        <c:extLst>
          <c:ext xmlns:c15="http://schemas.microsoft.com/office/drawing/2012/chart" uri="{02D57815-91ED-43cb-92C2-25804820EDAC}">
            <c15:filteredBarSeries>
              <c15:ser>
                <c:idx val="2"/>
                <c:order val="2"/>
                <c:tx>
                  <c:strRef>
                    <c:extLst>
                      <c:ext uri="{02D57815-91ED-43cb-92C2-25804820EDAC}">
                        <c15:formulaRef>
                          <c15:sqref>'[SLS results for RAN1#110 - 副本.xlsx]Sheet1'!$D$14</c15:sqref>
                        </c15:formulaRef>
                      </c:ext>
                    </c:extLst>
                    <c:strCache>
                      <c:ptCount val="1"/>
                      <c:pt idx="0">
                        <c:v>ES gain ssb-less</c:v>
                      </c:pt>
                    </c:strCache>
                  </c:strRef>
                </c:tx>
                <c:spPr>
                  <a:solidFill>
                    <a:schemeClr val="accent3"/>
                  </a:solidFill>
                  <a:ln>
                    <a:noFill/>
                  </a:ln>
                  <a:effectLst/>
                </c:spPr>
                <c:invertIfNegative val="0"/>
                <c:dLbls>
                  <c:numFmt formatCode="#,##0.00_);[Red]\(#,##0.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副本.xlsx]Sheet1'!$A$15:$A$18</c15:sqref>
                        </c15:formulaRef>
                      </c:ext>
                    </c:extLst>
                    <c:strCache>
                      <c:ptCount val="4"/>
                      <c:pt idx="0">
                        <c:v>case1</c:v>
                      </c:pt>
                      <c:pt idx="1">
                        <c:v>case2</c:v>
                      </c:pt>
                      <c:pt idx="2">
                        <c:v>case3</c:v>
                      </c:pt>
                      <c:pt idx="3">
                        <c:v>case4</c:v>
                      </c:pt>
                    </c:strCache>
                  </c:strRef>
                </c:cat>
                <c:val>
                  <c:numRef>
                    <c:extLst>
                      <c:ext uri="{02D57815-91ED-43cb-92C2-25804820EDAC}">
                        <c15:formulaRef>
                          <c15:sqref>{0.226012822057257,0.138622574627576,0.0722794603981609,0.0434972250886151}</c15:sqref>
                        </c15:formulaRef>
                      </c:ext>
                    </c:extLst>
                    <c:numCache>
                      <c:formatCode>General</c:formatCode>
                      <c:ptCount val="4"/>
                      <c:pt idx="0">
                        <c:v>0.226012822057257</c:v>
                      </c:pt>
                      <c:pt idx="1">
                        <c:v>0.138622574627576</c:v>
                      </c:pt>
                      <c:pt idx="2">
                        <c:v>0.0722794603981609</c:v>
                      </c:pt>
                      <c:pt idx="3">
                        <c:v>0.0434972250886151</c:v>
                      </c:pt>
                    </c:numCache>
                  </c:numRef>
                </c:val>
              </c15:ser>
            </c15:filteredBarSeries>
          </c:ext>
        </c:extLst>
      </c:barChart>
      <c:lineChart>
        <c:grouping val="standard"/>
        <c:varyColors val="0"/>
        <c:ser>
          <c:idx val="0"/>
          <c:order val="0"/>
          <c:tx>
            <c:strRef>
              <c:f>'[SLS results for RAN1#110 - 副本.xlsx]Sheet1'!$B$14</c:f>
              <c:strCache>
                <c:ptCount val="1"/>
                <c:pt idx="0">
                  <c:v>RU</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accent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副本.xlsx]Sheet1'!$A$15:$A$18</c:f>
              <c:strCache>
                <c:ptCount val="4"/>
                <c:pt idx="0">
                  <c:v>case1</c:v>
                </c:pt>
                <c:pt idx="1">
                  <c:v>case2</c:v>
                </c:pt>
                <c:pt idx="2">
                  <c:v>case3</c:v>
                </c:pt>
                <c:pt idx="3">
                  <c:v>case4</c:v>
                </c:pt>
              </c:strCache>
            </c:strRef>
          </c:cat>
          <c:val>
            <c:numRef>
              <c:f>'[SLS results for RAN1#110 - 副本.xlsx]Sheet1'!$B$15:$B$18</c:f>
              <c:numCache>
                <c:formatCode>General</c:formatCode>
                <c:ptCount val="4"/>
                <c:pt idx="0">
                  <c:v>0.0490259155631065</c:v>
                </c:pt>
                <c:pt idx="1">
                  <c:v>0.0973486006259918</c:v>
                </c:pt>
                <c:pt idx="2">
                  <c:v>0.236972585320473</c:v>
                </c:pt>
                <c:pt idx="3">
                  <c:v>0.374604165554047</c:v>
                </c:pt>
              </c:numCache>
            </c:numRef>
          </c:val>
          <c:smooth val="0"/>
        </c:ser>
        <c:dLbls>
          <c:showLegendKey val="0"/>
          <c:showVal val="1"/>
          <c:showCatName val="0"/>
          <c:showSerName val="0"/>
          <c:showPercent val="0"/>
          <c:showBubbleSize val="0"/>
        </c:dLbls>
        <c:marker val="1"/>
        <c:smooth val="0"/>
        <c:axId val="-114874448"/>
        <c:axId val="-114848880"/>
        <c:extLst>
          <c:ext xmlns:c15="http://schemas.microsoft.com/office/drawing/2012/chart" uri="{02D57815-91ED-43cb-92C2-25804820EDAC}">
            <c15:filteredLineSeries>
              <c15:ser>
                <c:idx val="1"/>
                <c:order val="1"/>
                <c:tx>
                  <c:strRef>
                    <c:extLst>
                      <c:ext uri="{02D57815-91ED-43cb-92C2-25804820EDAC}">
                        <c15:formulaRef>
                          <c15:sqref>'[SLS results for RAN1#110 - 副本.xlsx]Sheet1'!$C$14</c15:sqref>
                        </c15:formulaRef>
                      </c:ext>
                    </c:extLst>
                    <c:strCache>
                      <c:ptCount val="1"/>
                      <c:pt idx="0">
                        <c:v>RU ssb-less</c:v>
                      </c:pt>
                    </c:strCache>
                  </c:strRef>
                </c:tx>
                <c:spPr>
                  <a:ln w="28575" cap="rnd">
                    <a:solidFill>
                      <a:schemeClr val="accent2"/>
                    </a:solidFill>
                    <a:round/>
                  </a:ln>
                  <a:effectLst/>
                </c:spPr>
                <c:marker>
                  <c:symbol val="circle"/>
                  <c:size val="3"/>
                  <c:spPr>
                    <a:solidFill>
                      <a:schemeClr val="accent2"/>
                    </a:solidFill>
                    <a:ln w="9525">
                      <a:solidFill>
                        <a:schemeClr val="accent2"/>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chemeClr val="accent2"/>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副本.xlsx]Sheet1'!$A$15:$A$18</c15:sqref>
                        </c15:formulaRef>
                      </c:ext>
                    </c:extLst>
                    <c:strCache>
                      <c:ptCount val="4"/>
                      <c:pt idx="0">
                        <c:v>case1</c:v>
                      </c:pt>
                      <c:pt idx="1">
                        <c:v>case2</c:v>
                      </c:pt>
                      <c:pt idx="2">
                        <c:v>case3</c:v>
                      </c:pt>
                      <c:pt idx="3">
                        <c:v>case4</c:v>
                      </c:pt>
                    </c:strCache>
                  </c:strRef>
                </c:cat>
                <c:val>
                  <c:numRef>
                    <c:extLst>
                      <c:ext uri="{02D57815-91ED-43cb-92C2-25804820EDAC}">
                        <c15:formulaRef>
                          <c15:sqref>{0.0489364303648472,0.0963510200381279,0.235738873481751,0.373052805662155}</c15:sqref>
                        </c15:formulaRef>
                      </c:ext>
                    </c:extLst>
                    <c:numCache>
                      <c:formatCode>General</c:formatCode>
                      <c:ptCount val="4"/>
                      <c:pt idx="0">
                        <c:v>0.0489364303648472</c:v>
                      </c:pt>
                      <c:pt idx="1">
                        <c:v>0.0963510200381279</c:v>
                      </c:pt>
                      <c:pt idx="2">
                        <c:v>0.235738873481751</c:v>
                      </c:pt>
                      <c:pt idx="3">
                        <c:v>0.373052805662155</c:v>
                      </c:pt>
                    </c:numCache>
                  </c:numRef>
                </c:val>
                <c:smooth val="0"/>
              </c15:ser>
            </c15:filteredLineSeries>
          </c:ext>
        </c:extLst>
      </c:lineChart>
      <c:catAx>
        <c:axId val="-114852688"/>
        <c:scaling>
          <c:orientation val="minMax"/>
        </c:scaling>
        <c:delete val="0"/>
        <c:axPos val="b"/>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14873360"/>
        <c:crosses val="autoZero"/>
        <c:auto val="1"/>
        <c:lblAlgn val="ctr"/>
        <c:lblOffset val="100"/>
        <c:noMultiLvlLbl val="0"/>
      </c:catAx>
      <c:valAx>
        <c:axId val="-114873360"/>
        <c:scaling>
          <c:orientation val="minMax"/>
          <c:max val="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UPT ratio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14852688"/>
        <c:crosses val="autoZero"/>
        <c:crossBetween val="between"/>
        <c:majorUnit val="1"/>
        <c:minorUnit val="0.5"/>
      </c:valAx>
      <c:catAx>
        <c:axId val="-114874448"/>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114848880"/>
        <c:crosses val="autoZero"/>
        <c:auto val="1"/>
        <c:lblAlgn val="ctr"/>
        <c:lblOffset val="100"/>
        <c:noMultiLvlLbl val="0"/>
      </c:catAx>
      <c:valAx>
        <c:axId val="-114848880"/>
        <c:scaling>
          <c:logBase val="10"/>
          <c:orientation val="minMax"/>
          <c:max val="0.6"/>
          <c:min val="0.00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RU (%)</a:t>
                </a:r>
                <a:endParaRPr lang="en-US" altLang="zh-CN" sz="800">
                  <a:solidFill>
                    <a:sysClr val="windowText" lastClr="000000"/>
                  </a:solidFill>
                </a:endParaRPr>
              </a:p>
            </c:rich>
          </c:tx>
          <c:layout/>
          <c:overlay val="0"/>
          <c:spPr>
            <a:noFill/>
            <a:ln>
              <a:noFill/>
            </a:ln>
            <a:effectLst/>
          </c:spPr>
        </c:title>
        <c:numFmt formatCode="#,##0.00_);[Red]\(#,##0.00\)" sourceLinked="0"/>
        <c:majorTickMark val="out"/>
        <c:minorTickMark val="none"/>
        <c:tickLblPos val="nextTo"/>
        <c:spPr>
          <a:noFill/>
          <a:ln>
            <a:noFill/>
          </a:ln>
          <a:effectLst/>
        </c:spPr>
        <c:txPr>
          <a:bodyPr rot="-60000000" spcFirstLastPara="0" vertOverflow="ellipsis" vert="horz" wrap="square" anchor="ctr" anchorCtr="1"/>
          <a:lstStyle/>
          <a:p>
            <a:pPr>
              <a:defRPr lang="zh-CN" sz="300" b="0" i="0" u="none" strike="noStrike" kern="1200" baseline="0">
                <a:solidFill>
                  <a:schemeClr val="bg1"/>
                </a:solidFill>
                <a:latin typeface="+mn-lt"/>
                <a:ea typeface="+mn-ea"/>
                <a:cs typeface="+mn-cs"/>
              </a:defRPr>
            </a:pPr>
          </a:p>
        </c:txPr>
        <c:crossAx val="-114874448"/>
        <c:crosses val="max"/>
        <c:crossBetween val="between"/>
        <c:majorUnit val="0.1"/>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mn-lt"/>
                <a:ea typeface="+mn-ea"/>
                <a:cs typeface="+mn-cs"/>
              </a:defRPr>
            </a:pPr>
            <a:r>
              <a:rPr lang="en-US" altLang="zh-CN" sz="1000">
                <a:solidFill>
                  <a:sysClr val="windowText" lastClr="000000"/>
                </a:solidFill>
              </a:rPr>
              <a:t>ES gain &amp; RU</a:t>
            </a:r>
            <a:endParaRPr lang="en-US" altLang="zh-CN" sz="100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2"/>
          <c:order val="2"/>
          <c:tx>
            <c:strRef>
              <c:f>'[SLS results for RAN1#110 - 副本.xlsx]Sheet1'!$D$4</c:f>
              <c:strCache>
                <c:ptCount val="1"/>
                <c:pt idx="0">
                  <c:v>ES gain ssbsib-less</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副本.xlsx]Sheet1'!$A$5:$A$8</c:f>
              <c:strCache>
                <c:ptCount val="4"/>
                <c:pt idx="0">
                  <c:v>case1</c:v>
                </c:pt>
                <c:pt idx="1">
                  <c:v>case2</c:v>
                </c:pt>
                <c:pt idx="2">
                  <c:v>case3</c:v>
                </c:pt>
                <c:pt idx="3">
                  <c:v>case4</c:v>
                </c:pt>
              </c:strCache>
            </c:strRef>
          </c:cat>
          <c:val>
            <c:numRef>
              <c:f>'[SLS results for RAN1#110 - 副本.xlsx]Sheet1'!$D$5:$D$8</c:f>
              <c:numCache>
                <c:formatCode>General</c:formatCode>
                <c:ptCount val="4"/>
                <c:pt idx="0">
                  <c:v>0.361920791744192</c:v>
                </c:pt>
                <c:pt idx="1">
                  <c:v>0.258280843314671</c:v>
                </c:pt>
                <c:pt idx="2">
                  <c:v>0.147397452625016</c:v>
                </c:pt>
                <c:pt idx="3">
                  <c:v>0.0927396642380434</c:v>
                </c:pt>
              </c:numCache>
            </c:numRef>
          </c:val>
        </c:ser>
        <c:dLbls>
          <c:showLegendKey val="0"/>
          <c:showVal val="0"/>
          <c:showCatName val="0"/>
          <c:showSerName val="0"/>
          <c:showPercent val="0"/>
          <c:showBubbleSize val="0"/>
        </c:dLbls>
        <c:gapWidth val="219"/>
        <c:axId val="-114856496"/>
        <c:axId val="-114849424"/>
        <c:extLst>
          <c:ext xmlns:c15="http://schemas.microsoft.com/office/drawing/2012/chart" uri="{02D57815-91ED-43cb-92C2-25804820EDAC}">
            <c15:filteredBarSeries>
              <c15:ser>
                <c:idx val="4"/>
                <c:order val="3"/>
                <c:tx>
                  <c:strRef>
                    <c:extLst>
                      <c:ext uri="{02D57815-91ED-43cb-92C2-25804820EDAC}">
                        <c15:formulaRef>
                          <c15:sqref>'[SLS results for RAN1#110 - 副本.xlsx]Sheet1'!$E$4</c15:sqref>
                        </c15:formulaRef>
                      </c:ext>
                    </c:extLst>
                    <c:strCache>
                      <c:ptCount val="1"/>
                      <c:pt idx="0">
                        <c:v>UPT ratio ssbsib-less</c:v>
                      </c:pt>
                    </c:strCache>
                  </c:strRef>
                </c:tx>
                <c:spPr>
                  <a:solidFill>
                    <a:schemeClr val="accent5"/>
                  </a:solidFill>
                  <a:ln>
                    <a:noFill/>
                  </a:ln>
                  <a:effectLst/>
                </c:spPr>
                <c:invertIfNegative val="0"/>
                <c:dLbls>
                  <c:delete val="1"/>
                </c:dLbls>
                <c:cat>
                  <c:strRef>
                    <c:extLst>
                      <c:ext uri="{02D57815-91ED-43cb-92C2-25804820EDAC}">
                        <c15:fullRef>
                          <c15:sqref/>
                        </c15:fullRef>
                        <c15:formulaRef>
                          <c15:sqref>'[SLS results for RAN1#110 - 副本.xlsx]Sheet1'!$A$5:$A$8</c15:sqref>
                        </c15:formulaRef>
                      </c:ext>
                    </c:extLst>
                    <c:strCache>
                      <c:ptCount val="4"/>
                      <c:pt idx="0">
                        <c:v>case1</c:v>
                      </c:pt>
                      <c:pt idx="1">
                        <c:v>case2</c:v>
                      </c:pt>
                      <c:pt idx="2">
                        <c:v>case3</c:v>
                      </c:pt>
                      <c:pt idx="3">
                        <c:v>case4</c:v>
                      </c:pt>
                    </c:strCache>
                  </c:strRef>
                </c:cat>
                <c:val>
                  <c:numRef>
                    <c:extLst>
                      <c:ext uri="{02D57815-91ED-43cb-92C2-25804820EDAC}">
                        <c15:formulaRef>
                          <c15:sqref>{1.01798775480796,1.02178138406346,1.02011016295404,1.02087068961095}</c15:sqref>
                        </c15:formulaRef>
                      </c:ext>
                    </c:extLst>
                    <c:numCache>
                      <c:formatCode>General</c:formatCode>
                      <c:ptCount val="4"/>
                      <c:pt idx="0">
                        <c:v>1.01798775480796</c:v>
                      </c:pt>
                      <c:pt idx="1">
                        <c:v>1.02178138406346</c:v>
                      </c:pt>
                      <c:pt idx="2">
                        <c:v>1.02011016295404</c:v>
                      </c:pt>
                      <c:pt idx="3">
                        <c:v>1.02087068961095</c:v>
                      </c:pt>
                    </c:numCache>
                  </c:numRef>
                </c:val>
              </c15:ser>
            </c15:filteredBarSeries>
          </c:ext>
        </c:extLst>
      </c:barChart>
      <c:lineChart>
        <c:grouping val="standard"/>
        <c:varyColors val="0"/>
        <c:ser>
          <c:idx val="0"/>
          <c:order val="0"/>
          <c:tx>
            <c:strRef>
              <c:f>'[SLS results for RAN1#110 - 副本.xlsx]Sheet1'!$B$4</c:f>
              <c:strCache>
                <c:ptCount val="1"/>
                <c:pt idx="0">
                  <c:v>RU</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accent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副本.xlsx]Sheet1'!$A$5:$A$8</c:f>
              <c:strCache>
                <c:ptCount val="4"/>
                <c:pt idx="0">
                  <c:v>case1</c:v>
                </c:pt>
                <c:pt idx="1">
                  <c:v>case2</c:v>
                </c:pt>
                <c:pt idx="2">
                  <c:v>case3</c:v>
                </c:pt>
                <c:pt idx="3">
                  <c:v>case4</c:v>
                </c:pt>
              </c:strCache>
            </c:strRef>
          </c:cat>
          <c:val>
            <c:numRef>
              <c:f>'[SLS results for RAN1#110 - 副本.xlsx]Sheet1'!$B$5:$B$8</c:f>
              <c:numCache>
                <c:formatCode>General</c:formatCode>
                <c:ptCount val="4"/>
                <c:pt idx="0">
                  <c:v>0.0494189895689487</c:v>
                </c:pt>
                <c:pt idx="1">
                  <c:v>0.0977294892072678</c:v>
                </c:pt>
                <c:pt idx="2">
                  <c:v>0.238877594470978</c:v>
                </c:pt>
                <c:pt idx="3">
                  <c:v>0.378570079803467</c:v>
                </c:pt>
              </c:numCache>
            </c:numRef>
          </c:val>
          <c:smooth val="0"/>
        </c:ser>
        <c:dLbls>
          <c:showLegendKey val="0"/>
          <c:showVal val="1"/>
          <c:showCatName val="0"/>
          <c:showSerName val="0"/>
          <c:showPercent val="0"/>
          <c:showBubbleSize val="0"/>
        </c:dLbls>
        <c:marker val="1"/>
        <c:smooth val="0"/>
        <c:axId val="-114870096"/>
        <c:axId val="-114852144"/>
        <c:extLst>
          <c:ext xmlns:c15="http://schemas.microsoft.com/office/drawing/2012/chart" uri="{02D57815-91ED-43cb-92C2-25804820EDAC}">
            <c15:filteredLineSeries>
              <c15:ser>
                <c:idx val="1"/>
                <c:order val="1"/>
                <c:tx>
                  <c:strRef>
                    <c:extLst>
                      <c:ext uri="{02D57815-91ED-43cb-92C2-25804820EDAC}">
                        <c15:formulaRef>
                          <c15:sqref>'[SLS results for RAN1#110 - 副本.xlsx]Sheet1'!$C$4</c15:sqref>
                        </c15:formulaRef>
                      </c:ext>
                    </c:extLst>
                    <c:strCache>
                      <c:ptCount val="1"/>
                      <c:pt idx="0">
                        <c:v>RU ssbsib-less</c:v>
                      </c:pt>
                    </c:strCache>
                  </c:strRef>
                </c:tx>
                <c:spPr>
                  <a:ln w="28575" cap="rnd">
                    <a:solidFill>
                      <a:schemeClr val="accent2"/>
                    </a:solidFill>
                    <a:round/>
                  </a:ln>
                  <a:effectLst/>
                </c:spPr>
                <c:marker>
                  <c:symbol val="circle"/>
                  <c:size val="3"/>
                  <c:spPr>
                    <a:solidFill>
                      <a:schemeClr val="accent2"/>
                    </a:solidFill>
                    <a:ln w="9525">
                      <a:solidFill>
                        <a:schemeClr val="accent2"/>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chemeClr val="accent2"/>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副本.xlsx]Sheet1'!$A$5:$A$8</c15:sqref>
                        </c15:formulaRef>
                      </c:ext>
                    </c:extLst>
                    <c:strCache>
                      <c:ptCount val="4"/>
                      <c:pt idx="0">
                        <c:v>case1</c:v>
                      </c:pt>
                      <c:pt idx="1">
                        <c:v>case2</c:v>
                      </c:pt>
                      <c:pt idx="2">
                        <c:v>case3</c:v>
                      </c:pt>
                      <c:pt idx="3">
                        <c:v>case4</c:v>
                      </c:pt>
                    </c:strCache>
                  </c:strRef>
                </c:cat>
                <c:val>
                  <c:numRef>
                    <c:extLst>
                      <c:ext uri="{02D57815-91ED-43cb-92C2-25804820EDAC}">
                        <c15:formulaRef>
                          <c15:sqref>{0.0489364303648472,0.0963510200381279,0.235738873481751,0.373052805662155}</c15:sqref>
                        </c15:formulaRef>
                      </c:ext>
                    </c:extLst>
                    <c:numCache>
                      <c:formatCode>General</c:formatCode>
                      <c:ptCount val="4"/>
                      <c:pt idx="0">
                        <c:v>0.0489364303648472</c:v>
                      </c:pt>
                      <c:pt idx="1">
                        <c:v>0.0963510200381279</c:v>
                      </c:pt>
                      <c:pt idx="2">
                        <c:v>0.235738873481751</c:v>
                      </c:pt>
                      <c:pt idx="3">
                        <c:v>0.373052805662155</c:v>
                      </c:pt>
                    </c:numCache>
                  </c:numRef>
                </c:val>
                <c:smooth val="0"/>
              </c15:ser>
            </c15:filteredLineSeries>
          </c:ext>
        </c:extLst>
      </c:lineChart>
      <c:catAx>
        <c:axId val="-114856496"/>
        <c:scaling>
          <c:orientation val="minMax"/>
        </c:scaling>
        <c:delete val="0"/>
        <c:axPos val="b"/>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14849424"/>
        <c:crosses val="autoZero"/>
        <c:auto val="1"/>
        <c:lblAlgn val="ctr"/>
        <c:lblOffset val="100"/>
        <c:noMultiLvlLbl val="0"/>
      </c:catAx>
      <c:valAx>
        <c:axId val="-114849424"/>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Energy saving gain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14856496"/>
        <c:crosses val="autoZero"/>
        <c:crossBetween val="between"/>
        <c:majorUnit val="0.5"/>
        <c:minorUnit val="0.4"/>
      </c:valAx>
      <c:catAx>
        <c:axId val="-114870096"/>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114852144"/>
        <c:crosses val="autoZero"/>
        <c:auto val="1"/>
        <c:lblAlgn val="ctr"/>
        <c:lblOffset val="100"/>
        <c:noMultiLvlLbl val="0"/>
      </c:catAx>
      <c:valAx>
        <c:axId val="-114852144"/>
        <c:scaling>
          <c:logBase val="10"/>
          <c:orientation val="minMax"/>
          <c:max val="0.6"/>
          <c:min val="0.00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RU (%)</a:t>
                </a:r>
                <a:endParaRPr lang="en-US" altLang="zh-CN" sz="800">
                  <a:solidFill>
                    <a:sysClr val="windowText" lastClr="000000"/>
                  </a:solidFill>
                </a:endParaRPr>
              </a:p>
            </c:rich>
          </c:tx>
          <c:layout/>
          <c:overlay val="0"/>
          <c:spPr>
            <a:noFill/>
            <a:ln>
              <a:noFill/>
            </a:ln>
            <a:effectLst/>
          </c:spPr>
        </c:title>
        <c:numFmt formatCode="#,##0.00_);[Red]\(#,##0.00\)" sourceLinked="0"/>
        <c:majorTickMark val="out"/>
        <c:minorTickMark val="none"/>
        <c:tickLblPos val="nextTo"/>
        <c:spPr>
          <a:noFill/>
          <a:ln>
            <a:noFill/>
          </a:ln>
          <a:effectLst/>
        </c:spPr>
        <c:txPr>
          <a:bodyPr rot="-60000000" spcFirstLastPara="0" vertOverflow="ellipsis" vert="horz" wrap="square" anchor="ctr" anchorCtr="1"/>
          <a:lstStyle/>
          <a:p>
            <a:pPr>
              <a:defRPr lang="zh-CN" sz="300" b="0" i="0" u="none" strike="noStrike" kern="1200" baseline="0">
                <a:solidFill>
                  <a:schemeClr val="bg1"/>
                </a:solidFill>
                <a:latin typeface="+mn-lt"/>
                <a:ea typeface="+mn-ea"/>
                <a:cs typeface="+mn-cs"/>
              </a:defRPr>
            </a:pPr>
          </a:p>
        </c:txPr>
        <c:crossAx val="-114870096"/>
        <c:crosses val="max"/>
        <c:crossBetween val="between"/>
        <c:majorUnit val="0.1"/>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ysClr val="windowText" lastClr="000000"/>
                </a:solidFill>
                <a:latin typeface="+mn-lt"/>
                <a:ea typeface="+mn-ea"/>
                <a:cs typeface="+mn-cs"/>
              </a:defRPr>
            </a:pPr>
            <a:r>
              <a:rPr lang="en-US" altLang="zh-CN" sz="1000">
                <a:solidFill>
                  <a:sysClr val="windowText" lastClr="000000"/>
                </a:solidFill>
              </a:rPr>
              <a:t>UPT ratio &amp; RU</a:t>
            </a:r>
            <a:endParaRPr lang="en-US" altLang="zh-CN" sz="100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4"/>
          <c:order val="3"/>
          <c:tx>
            <c:strRef>
              <c:f>'[SLS results for RAN1#110 - 副本.xlsx]Sheet1'!$E$4</c:f>
              <c:strCache>
                <c:ptCount val="1"/>
                <c:pt idx="0">
                  <c:v>UPT ratio ssbsib-less</c:v>
                </c:pt>
              </c:strCache>
            </c:strRef>
          </c:tx>
          <c:spPr>
            <a:solidFill>
              <a:schemeClr val="accent5"/>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副本.xlsx]Sheet1'!$A$5:$A$8</c:f>
              <c:strCache>
                <c:ptCount val="4"/>
                <c:pt idx="0">
                  <c:v>case1</c:v>
                </c:pt>
                <c:pt idx="1">
                  <c:v>case2</c:v>
                </c:pt>
                <c:pt idx="2">
                  <c:v>case3</c:v>
                </c:pt>
                <c:pt idx="3">
                  <c:v>case4</c:v>
                </c:pt>
              </c:strCache>
            </c:strRef>
          </c:cat>
          <c:val>
            <c:numRef>
              <c:f>'[SLS results for RAN1#110 - 副本.xlsx]Sheet1'!$E$5:$E$8</c:f>
              <c:numCache>
                <c:formatCode>General</c:formatCode>
                <c:ptCount val="4"/>
                <c:pt idx="0">
                  <c:v>1.01798775480796</c:v>
                </c:pt>
                <c:pt idx="1">
                  <c:v>1.02178138406346</c:v>
                </c:pt>
                <c:pt idx="2">
                  <c:v>1.02011016295404</c:v>
                </c:pt>
                <c:pt idx="3">
                  <c:v>1.02087068961095</c:v>
                </c:pt>
              </c:numCache>
            </c:numRef>
          </c:val>
        </c:ser>
        <c:dLbls>
          <c:showLegendKey val="0"/>
          <c:showVal val="0"/>
          <c:showCatName val="0"/>
          <c:showSerName val="0"/>
          <c:showPercent val="0"/>
          <c:showBubbleSize val="0"/>
        </c:dLbls>
        <c:gapWidth val="219"/>
        <c:axId val="-114847792"/>
        <c:axId val="-114847248"/>
        <c:extLst>
          <c:ext xmlns:c15="http://schemas.microsoft.com/office/drawing/2012/chart" uri="{02D57815-91ED-43cb-92C2-25804820EDAC}">
            <c15:filteredBarSeries>
              <c15:ser>
                <c:idx val="2"/>
                <c:order val="2"/>
                <c:tx>
                  <c:strRef>
                    <c:extLst>
                      <c:ext uri="{02D57815-91ED-43cb-92C2-25804820EDAC}">
                        <c15:formulaRef>
                          <c15:sqref>'[SLS results for RAN1#110 - 副本.xlsx]Sheet1'!$D$4</c15:sqref>
                        </c15:formulaRef>
                      </c:ext>
                    </c:extLst>
                    <c:strCache>
                      <c:ptCount val="1"/>
                      <c:pt idx="0">
                        <c:v>ES gain ssbsib-less</c:v>
                      </c:pt>
                    </c:strCache>
                  </c:strRef>
                </c:tx>
                <c:spPr>
                  <a:solidFill>
                    <a:schemeClr val="accent3"/>
                  </a:solidFill>
                  <a:ln>
                    <a:noFill/>
                  </a:ln>
                  <a:effectLst/>
                </c:spPr>
                <c:invertIfNegative val="0"/>
                <c:dLbls>
                  <c:numFmt formatCode="#,##0.00_);[Red]\(#,##0.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副本.xlsx]Sheet1'!$A$5:$A$8</c15:sqref>
                        </c15:formulaRef>
                      </c:ext>
                    </c:extLst>
                    <c:strCache>
                      <c:ptCount val="4"/>
                      <c:pt idx="0">
                        <c:v>case1</c:v>
                      </c:pt>
                      <c:pt idx="1">
                        <c:v>case2</c:v>
                      </c:pt>
                      <c:pt idx="2">
                        <c:v>case3</c:v>
                      </c:pt>
                      <c:pt idx="3">
                        <c:v>case4</c:v>
                      </c:pt>
                    </c:strCache>
                  </c:strRef>
                </c:cat>
                <c:val>
                  <c:numRef>
                    <c:extLst>
                      <c:ext uri="{02D57815-91ED-43cb-92C2-25804820EDAC}">
                        <c15:formulaRef>
                          <c15:sqref>{0.361920791744192,0.258280843314671,0.147397452625016,0.0927396642380434}</c15:sqref>
                        </c15:formulaRef>
                      </c:ext>
                    </c:extLst>
                    <c:numCache>
                      <c:formatCode>General</c:formatCode>
                      <c:ptCount val="4"/>
                      <c:pt idx="0">
                        <c:v>0.361920791744192</c:v>
                      </c:pt>
                      <c:pt idx="1">
                        <c:v>0.258280843314671</c:v>
                      </c:pt>
                      <c:pt idx="2">
                        <c:v>0.147397452625016</c:v>
                      </c:pt>
                      <c:pt idx="3">
                        <c:v>0.0927396642380434</c:v>
                      </c:pt>
                    </c:numCache>
                  </c:numRef>
                </c:val>
              </c15:ser>
            </c15:filteredBarSeries>
          </c:ext>
        </c:extLst>
      </c:barChart>
      <c:lineChart>
        <c:grouping val="standard"/>
        <c:varyColors val="0"/>
        <c:ser>
          <c:idx val="0"/>
          <c:order val="0"/>
          <c:tx>
            <c:strRef>
              <c:f>'[SLS results for RAN1#110 - 副本.xlsx]Sheet1'!$B$4</c:f>
              <c:strCache>
                <c:ptCount val="1"/>
                <c:pt idx="0">
                  <c:v>RU</c:v>
                </c:pt>
              </c:strCache>
            </c:strRef>
          </c:tx>
          <c:spPr>
            <a:ln w="28575" cap="rnd">
              <a:solidFill>
                <a:schemeClr val="accent1"/>
              </a:solidFill>
              <a:round/>
            </a:ln>
            <a:effectLst/>
          </c:spPr>
          <c:marker>
            <c:symbol val="circle"/>
            <c:size val="3"/>
            <c:spPr>
              <a:solidFill>
                <a:schemeClr val="accent1"/>
              </a:solidFill>
              <a:ln w="9525">
                <a:solidFill>
                  <a:schemeClr val="accent1"/>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chemeClr val="accent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'[SLS results for RAN1#110 - 副本.xlsx]Sheet1'!$A$5:$A$8</c:f>
              <c:strCache>
                <c:ptCount val="4"/>
                <c:pt idx="0">
                  <c:v>case1</c:v>
                </c:pt>
                <c:pt idx="1">
                  <c:v>case2</c:v>
                </c:pt>
                <c:pt idx="2">
                  <c:v>case3</c:v>
                </c:pt>
                <c:pt idx="3">
                  <c:v>case4</c:v>
                </c:pt>
              </c:strCache>
            </c:strRef>
          </c:cat>
          <c:val>
            <c:numRef>
              <c:f>'[SLS results for RAN1#110 - 副本.xlsx]Sheet1'!$B$5:$B$8</c:f>
              <c:numCache>
                <c:formatCode>General</c:formatCode>
                <c:ptCount val="4"/>
                <c:pt idx="0">
                  <c:v>0.0494189895689487</c:v>
                </c:pt>
                <c:pt idx="1">
                  <c:v>0.0977294892072678</c:v>
                </c:pt>
                <c:pt idx="2">
                  <c:v>0.238877594470978</c:v>
                </c:pt>
                <c:pt idx="3">
                  <c:v>0.378570079803467</c:v>
                </c:pt>
              </c:numCache>
            </c:numRef>
          </c:val>
          <c:smooth val="0"/>
        </c:ser>
        <c:dLbls>
          <c:showLegendKey val="0"/>
          <c:showVal val="1"/>
          <c:showCatName val="0"/>
          <c:showSerName val="0"/>
          <c:showPercent val="0"/>
          <c:showBubbleSize val="0"/>
        </c:dLbls>
        <c:marker val="1"/>
        <c:smooth val="0"/>
        <c:axId val="-114846704"/>
        <c:axId val="-114865744"/>
        <c:extLst>
          <c:ext xmlns:c15="http://schemas.microsoft.com/office/drawing/2012/chart" uri="{02D57815-91ED-43cb-92C2-25804820EDAC}">
            <c15:filteredLineSeries>
              <c15:ser>
                <c:idx val="1"/>
                <c:order val="1"/>
                <c:tx>
                  <c:strRef>
                    <c:extLst>
                      <c:ext uri="{02D57815-91ED-43cb-92C2-25804820EDAC}">
                        <c15:formulaRef>
                          <c15:sqref>'[SLS results for RAN1#110 - 副本.xlsx]Sheet1'!$C$4</c15:sqref>
                        </c15:formulaRef>
                      </c:ext>
                    </c:extLst>
                    <c:strCache>
                      <c:ptCount val="1"/>
                      <c:pt idx="0">
                        <c:v>RU ssbsib-less</c:v>
                      </c:pt>
                    </c:strCache>
                  </c:strRef>
                </c:tx>
                <c:spPr>
                  <a:ln w="28575" cap="rnd">
                    <a:solidFill>
                      <a:schemeClr val="accent2"/>
                    </a:solidFill>
                    <a:round/>
                  </a:ln>
                  <a:effectLst/>
                </c:spPr>
                <c:marker>
                  <c:symbol val="circle"/>
                  <c:size val="3"/>
                  <c:spPr>
                    <a:solidFill>
                      <a:schemeClr val="accent2"/>
                    </a:solidFill>
                    <a:ln w="9525">
                      <a:solidFill>
                        <a:schemeClr val="accent2"/>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600" b="0" i="0" u="none" strike="noStrike" kern="1200" baseline="0">
                          <a:solidFill>
                            <a:schemeClr val="accent2"/>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'[SLS results for RAN1#110 - 副本.xlsx]Sheet1'!$A$5:$A$8</c15:sqref>
                        </c15:formulaRef>
                      </c:ext>
                    </c:extLst>
                    <c:strCache>
                      <c:ptCount val="4"/>
                      <c:pt idx="0">
                        <c:v>case1</c:v>
                      </c:pt>
                      <c:pt idx="1">
                        <c:v>case2</c:v>
                      </c:pt>
                      <c:pt idx="2">
                        <c:v>case3</c:v>
                      </c:pt>
                      <c:pt idx="3">
                        <c:v>case4</c:v>
                      </c:pt>
                    </c:strCache>
                  </c:strRef>
                </c:cat>
                <c:val>
                  <c:numRef>
                    <c:extLst>
                      <c:ext uri="{02D57815-91ED-43cb-92C2-25804820EDAC}">
                        <c15:formulaRef>
                          <c15:sqref>{0.0489364303648472,0.0963510200381279,0.235738873481751,0.373052805662155}</c15:sqref>
                        </c15:formulaRef>
                      </c:ext>
                    </c:extLst>
                    <c:numCache>
                      <c:formatCode>General</c:formatCode>
                      <c:ptCount val="4"/>
                      <c:pt idx="0">
                        <c:v>0.0489364303648472</c:v>
                      </c:pt>
                      <c:pt idx="1">
                        <c:v>0.0963510200381279</c:v>
                      </c:pt>
                      <c:pt idx="2">
                        <c:v>0.235738873481751</c:v>
                      </c:pt>
                      <c:pt idx="3">
                        <c:v>0.373052805662155</c:v>
                      </c:pt>
                    </c:numCache>
                  </c:numRef>
                </c:val>
                <c:smooth val="0"/>
              </c15:ser>
            </c15:filteredLineSeries>
          </c:ext>
        </c:extLst>
      </c:lineChart>
      <c:catAx>
        <c:axId val="-114847792"/>
        <c:scaling>
          <c:orientation val="minMax"/>
        </c:scaling>
        <c:delete val="0"/>
        <c:axPos val="b"/>
        <c:numFmt formatCode="0.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14847248"/>
        <c:crosses val="autoZero"/>
        <c:auto val="1"/>
        <c:lblAlgn val="ctr"/>
        <c:lblOffset val="100"/>
        <c:noMultiLvlLbl val="0"/>
      </c:catAx>
      <c:valAx>
        <c:axId val="-114847248"/>
        <c:scaling>
          <c:orientation val="minMax"/>
          <c:max val="2"/>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UPT ratio (%)</a:t>
                </a:r>
                <a:endParaRPr lang="en-US" sz="800">
                  <a:solidFill>
                    <a:sysClr val="windowText" lastClr="000000"/>
                  </a:solidFill>
                </a:endParaRP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14847792"/>
        <c:crosses val="autoZero"/>
        <c:crossBetween val="between"/>
        <c:majorUnit val="1"/>
        <c:minorUnit val="0.5"/>
      </c:valAx>
      <c:catAx>
        <c:axId val="-114846704"/>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crossAx val="-114865744"/>
        <c:crosses val="autoZero"/>
        <c:auto val="1"/>
        <c:lblAlgn val="ctr"/>
        <c:lblOffset val="100"/>
        <c:noMultiLvlLbl val="0"/>
      </c:catAx>
      <c:valAx>
        <c:axId val="-114865744"/>
        <c:scaling>
          <c:logBase val="10"/>
          <c:orientation val="minMax"/>
          <c:max val="0.6"/>
          <c:min val="0.0001"/>
        </c:scaling>
        <c:delete val="0"/>
        <c:axPos val="r"/>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solidFill>
                      <a:sysClr val="windowText" lastClr="000000"/>
                    </a:solidFill>
                  </a:rPr>
                  <a:t>RU (%)</a:t>
                </a:r>
                <a:endParaRPr lang="en-US" altLang="zh-CN" sz="800">
                  <a:solidFill>
                    <a:sysClr val="windowText" lastClr="000000"/>
                  </a:solidFill>
                </a:endParaRPr>
              </a:p>
            </c:rich>
          </c:tx>
          <c:layout/>
          <c:overlay val="0"/>
          <c:spPr>
            <a:noFill/>
            <a:ln>
              <a:noFill/>
            </a:ln>
            <a:effectLst/>
          </c:spPr>
        </c:title>
        <c:numFmt formatCode="#,##0.00_);[Red]\(#,##0.00\)" sourceLinked="0"/>
        <c:majorTickMark val="out"/>
        <c:minorTickMark val="none"/>
        <c:tickLblPos val="nextTo"/>
        <c:spPr>
          <a:noFill/>
          <a:ln>
            <a:noFill/>
          </a:ln>
          <a:effectLst/>
        </c:spPr>
        <c:txPr>
          <a:bodyPr rot="-60000000" spcFirstLastPara="0" vertOverflow="ellipsis" vert="horz" wrap="square" anchor="ctr" anchorCtr="1"/>
          <a:lstStyle/>
          <a:p>
            <a:pPr>
              <a:defRPr lang="zh-CN" sz="300" b="0" i="0" u="none" strike="noStrike" kern="1200" baseline="0">
                <a:solidFill>
                  <a:schemeClr val="bg1"/>
                </a:solidFill>
                <a:latin typeface="+mn-lt"/>
                <a:ea typeface="+mn-ea"/>
                <a:cs typeface="+mn-cs"/>
              </a:defRPr>
            </a:pPr>
          </a:p>
        </c:txPr>
        <c:crossAx val="-114846704"/>
        <c:crosses val="max"/>
        <c:crossBetween val="between"/>
        <c:majorUnit val="0.1"/>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ysClr val="windowText" lastClr="000000"/>
          </a:solidFill>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5255</Words>
  <Characters>29957</Characters>
  <Lines>249</Lines>
  <Paragraphs>70</Paragraphs>
  <TotalTime>0</TotalTime>
  <ScaleCrop>false</ScaleCrop>
  <LinksUpToDate>false</LinksUpToDate>
  <CharactersWithSpaces>35142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ZTE</dc:creator>
  <cp:lastModifiedBy>ZTE</cp:lastModifiedBy>
  <dcterms:modified xsi:type="dcterms:W3CDTF">2022-08-12T15:33:38Z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